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480" w:firstLineChars="200"/>
        <w:jc w:val="left"/>
        <w:outlineLvl w:val="9"/>
        <w:rPr>
          <w:rFonts w:hint="eastAsia" w:ascii="方正楷体_GBK" w:hAnsi="方正楷体_GBK" w:eastAsia="方正楷体_GBK" w:cs="方正楷体_GBK"/>
          <w:b/>
          <w:color w:val="000000"/>
          <w:sz w:val="28"/>
          <w:lang w:val="en-US" w:eastAsia="zh-CN"/>
        </w:rPr>
      </w:pPr>
      <w:r>
        <w:fldChar w:fldCharType="begin"/>
      </w:r>
      <w:r>
        <w:instrText xml:space="preserve">TOC \o "4-4" \h \z \u</w:instrText>
      </w:r>
      <w:r>
        <w:fldChar w:fldCharType="separate"/>
      </w:r>
      <w:r>
        <w:rPr>
          <w:rFonts w:hint="eastAsia" w:ascii="方正楷体_GBK" w:hAnsi="方正楷体_GBK" w:eastAsia="方正楷体_GBK" w:cs="方正楷体_GBK"/>
          <w:b/>
          <w:color w:val="000000"/>
          <w:sz w:val="28"/>
          <w:lang w:val="en-US" w:eastAsia="zh-CN"/>
        </w:rPr>
        <w:t>一、单位预算公开表</w:t>
      </w:r>
    </w:p>
    <w:p>
      <w:pPr>
        <w:pStyle w:val="2"/>
        <w:tabs>
          <w:tab w:val="right" w:leader="dot" w:pos="14562"/>
        </w:tabs>
      </w:pPr>
      <w:r>
        <w:rPr>
          <w:rFonts w:hint="eastAsia"/>
          <w:lang w:val="en-US" w:eastAsia="zh-CN"/>
        </w:rPr>
        <w:t>1、</w:t>
      </w: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val="en-US" w:eastAsia="zh-CN"/>
        </w:rPr>
        <w:t>单位</w:t>
      </w:r>
      <w:r>
        <w:t>预算收支总表</w:t>
      </w:r>
      <w:r>
        <w:tab/>
      </w:r>
      <w:r>
        <w:fldChar w:fldCharType="begin"/>
      </w:r>
      <w:r>
        <w:instrText xml:space="preserve">PAGEREF _Toc_2_2_0000000001 \h</w:instrText>
      </w:r>
      <w:r>
        <w:fldChar w:fldCharType="separate"/>
      </w:r>
      <w:r>
        <w:t>1</w:t>
      </w:r>
      <w:r>
        <w:fldChar w:fldCharType="end"/>
      </w:r>
      <w:r>
        <w:fldChar w:fldCharType="end"/>
      </w:r>
    </w:p>
    <w:p>
      <w:pPr>
        <w:pStyle w:val="2"/>
        <w:tabs>
          <w:tab w:val="right" w:leader="dot" w:pos="14562"/>
        </w:tabs>
      </w:pPr>
      <w:r>
        <w:rPr>
          <w:rFonts w:hint="eastAsia"/>
          <w:lang w:val="en-US" w:eastAsia="zh-CN"/>
        </w:rPr>
        <w:t>2、</w:t>
      </w:r>
      <w:r>
        <w:fldChar w:fldCharType="begin"/>
      </w:r>
      <w:r>
        <w:instrText xml:space="preserve"> HYPERLINK \l "_Toc_2_2_0000000002" </w:instrText>
      </w:r>
      <w:r>
        <w:fldChar w:fldCharType="separate"/>
      </w:r>
      <w:r>
        <w:rPr>
          <w:rFonts w:hint="eastAsia"/>
          <w:lang w:val="en-US" w:eastAsia="zh-CN"/>
        </w:rPr>
        <w:t>单位</w:t>
      </w:r>
      <w:r>
        <w:t>预算收入总表</w:t>
      </w:r>
      <w:r>
        <w:tab/>
      </w:r>
      <w:r>
        <w:fldChar w:fldCharType="begin"/>
      </w:r>
      <w:r>
        <w:instrText xml:space="preserve">PAGEREF _Toc_2_2_0000000002 \h</w:instrText>
      </w:r>
      <w:r>
        <w:fldChar w:fldCharType="separate"/>
      </w:r>
      <w:r>
        <w:t>3</w:t>
      </w:r>
      <w:r>
        <w:fldChar w:fldCharType="end"/>
      </w:r>
      <w:r>
        <w:fldChar w:fldCharType="end"/>
      </w:r>
    </w:p>
    <w:p>
      <w:pPr>
        <w:pStyle w:val="2"/>
        <w:tabs>
          <w:tab w:val="right" w:leader="dot" w:pos="14562"/>
        </w:tabs>
      </w:pPr>
      <w:r>
        <w:rPr>
          <w:rFonts w:hint="eastAsia"/>
          <w:lang w:val="en-US" w:eastAsia="zh-CN"/>
        </w:rPr>
        <w:t>3、</w:t>
      </w:r>
      <w:r>
        <w:fldChar w:fldCharType="begin"/>
      </w:r>
      <w:r>
        <w:instrText xml:space="preserve"> HYPERLINK \l "_Toc_2_2_0000000003" </w:instrText>
      </w:r>
      <w:r>
        <w:fldChar w:fldCharType="separate"/>
      </w:r>
      <w:r>
        <w:rPr>
          <w:rFonts w:hint="eastAsia"/>
          <w:lang w:val="en-US" w:eastAsia="zh-CN"/>
        </w:rPr>
        <w:t>单位</w:t>
      </w:r>
      <w:r>
        <w:t>预算支出总表</w:t>
      </w:r>
      <w:r>
        <w:tab/>
      </w:r>
      <w:r>
        <w:fldChar w:fldCharType="begin"/>
      </w:r>
      <w:r>
        <w:instrText xml:space="preserve">PAGEREF _Toc_2_2_0000000003 \h</w:instrText>
      </w:r>
      <w:r>
        <w:fldChar w:fldCharType="separate"/>
      </w:r>
      <w:r>
        <w:t>4</w:t>
      </w:r>
      <w:r>
        <w:fldChar w:fldCharType="end"/>
      </w:r>
      <w:r>
        <w:fldChar w:fldCharType="end"/>
      </w:r>
    </w:p>
    <w:p>
      <w:pPr>
        <w:pStyle w:val="2"/>
        <w:tabs>
          <w:tab w:val="right" w:leader="dot" w:pos="14562"/>
        </w:tabs>
      </w:pPr>
      <w:r>
        <w:rPr>
          <w:rFonts w:hint="eastAsia"/>
          <w:lang w:val="en-US" w:eastAsia="zh-CN"/>
        </w:rPr>
        <w:t>4、</w:t>
      </w:r>
      <w:r>
        <w:fldChar w:fldCharType="begin"/>
      </w:r>
      <w:r>
        <w:instrText xml:space="preserve"> HYPERLINK \l "_Toc_2_2_0000000004" </w:instrText>
      </w:r>
      <w:r>
        <w:fldChar w:fldCharType="separate"/>
      </w:r>
      <w:r>
        <w:rPr>
          <w:rFonts w:hint="eastAsia"/>
          <w:lang w:val="en-US" w:eastAsia="zh-CN"/>
        </w:rPr>
        <w:t>单位</w:t>
      </w:r>
      <w:r>
        <w:t>预算财政拨款收支总表</w:t>
      </w:r>
      <w:r>
        <w:tab/>
      </w:r>
      <w:r>
        <w:fldChar w:fldCharType="begin"/>
      </w:r>
      <w:r>
        <w:instrText xml:space="preserve">PAGEREF _Toc_2_2_0000000004 \h</w:instrText>
      </w:r>
      <w:r>
        <w:fldChar w:fldCharType="separate"/>
      </w:r>
      <w:r>
        <w:t>5</w:t>
      </w:r>
      <w:r>
        <w:fldChar w:fldCharType="end"/>
      </w:r>
      <w:r>
        <w:fldChar w:fldCharType="end"/>
      </w:r>
    </w:p>
    <w:p>
      <w:pPr>
        <w:pStyle w:val="2"/>
        <w:tabs>
          <w:tab w:val="right" w:leader="dot" w:pos="14562"/>
        </w:tabs>
      </w:pPr>
      <w:r>
        <w:rPr>
          <w:rFonts w:hint="eastAsia"/>
          <w:lang w:val="en-US" w:eastAsia="zh-CN"/>
        </w:rPr>
        <w:t>5、</w:t>
      </w:r>
      <w:r>
        <w:fldChar w:fldCharType="begin"/>
      </w:r>
      <w:r>
        <w:instrText xml:space="preserve"> HYPERLINK \l "_Toc_2_2_0000000005" </w:instrText>
      </w:r>
      <w:r>
        <w:fldChar w:fldCharType="separate"/>
      </w:r>
      <w:r>
        <w:rPr>
          <w:rFonts w:hint="eastAsia"/>
          <w:lang w:val="en-US" w:eastAsia="zh-CN"/>
        </w:rPr>
        <w:t>单位</w:t>
      </w:r>
      <w:r>
        <w:t>预算一般公共预算财政拨款支出表</w:t>
      </w:r>
      <w:r>
        <w:tab/>
      </w:r>
      <w:r>
        <w:rPr>
          <w:rFonts w:hint="eastAsia"/>
          <w:lang w:val="en-US" w:eastAsia="zh-CN"/>
        </w:rPr>
        <w:t>8</w:t>
      </w:r>
      <w:r>
        <w:fldChar w:fldCharType="end"/>
      </w:r>
    </w:p>
    <w:p>
      <w:pPr>
        <w:pStyle w:val="2"/>
        <w:tabs>
          <w:tab w:val="right" w:leader="dot" w:pos="14562"/>
        </w:tabs>
      </w:pPr>
      <w:r>
        <w:rPr>
          <w:rFonts w:hint="eastAsia"/>
          <w:lang w:val="en-US" w:eastAsia="zh-CN"/>
        </w:rPr>
        <w:t>6、</w:t>
      </w:r>
      <w:r>
        <w:fldChar w:fldCharType="begin"/>
      </w:r>
      <w:r>
        <w:instrText xml:space="preserve"> HYPERLINK \l "_Toc_2_2_0000000006" </w:instrText>
      </w:r>
      <w:r>
        <w:fldChar w:fldCharType="separate"/>
      </w:r>
      <w:r>
        <w:rPr>
          <w:rFonts w:hint="eastAsia"/>
          <w:lang w:val="en-US" w:eastAsia="zh-CN"/>
        </w:rPr>
        <w:t>单位</w:t>
      </w:r>
      <w:r>
        <w:t>预算一般公共预算财政拨款基本支出表</w:t>
      </w:r>
      <w:r>
        <w:tab/>
      </w:r>
      <w:r>
        <w:rPr>
          <w:rFonts w:hint="eastAsia"/>
          <w:lang w:val="en-US" w:eastAsia="zh-CN"/>
        </w:rPr>
        <w:t>9</w:t>
      </w:r>
      <w:r>
        <w:fldChar w:fldCharType="end"/>
      </w:r>
    </w:p>
    <w:p>
      <w:pPr>
        <w:pStyle w:val="2"/>
        <w:tabs>
          <w:tab w:val="right" w:leader="dot" w:pos="14562"/>
        </w:tabs>
        <w:rPr>
          <w:rFonts w:hint="eastAsia" w:eastAsia="方正仿宋_GBK"/>
          <w:lang w:val="en-US" w:eastAsia="zh-CN"/>
        </w:rPr>
      </w:pPr>
      <w:r>
        <w:rPr>
          <w:rFonts w:hint="eastAsia"/>
          <w:lang w:val="en-US" w:eastAsia="zh-CN"/>
        </w:rPr>
        <w:t>7、</w:t>
      </w:r>
      <w:r>
        <w:fldChar w:fldCharType="begin"/>
      </w:r>
      <w:r>
        <w:instrText xml:space="preserve"> HYPERLINK \l "_Toc_2_2_0000000007" </w:instrText>
      </w:r>
      <w:r>
        <w:fldChar w:fldCharType="separate"/>
      </w:r>
      <w:r>
        <w:rPr>
          <w:rFonts w:hint="eastAsia"/>
          <w:lang w:val="en-US" w:eastAsia="zh-CN"/>
        </w:rPr>
        <w:t>单位</w:t>
      </w:r>
      <w:r>
        <w:t>预算政府性基金预算财政拨款支出表</w:t>
      </w:r>
      <w:r>
        <w:tab/>
      </w:r>
      <w:r>
        <w:rPr>
          <w:rFonts w:hint="eastAsia"/>
          <w:lang w:val="en-US" w:eastAsia="zh-CN"/>
        </w:rPr>
        <w:t>1</w:t>
      </w:r>
      <w:r>
        <w:fldChar w:fldCharType="end"/>
      </w:r>
      <w:r>
        <w:rPr>
          <w:rFonts w:hint="eastAsia"/>
          <w:lang w:val="en-US" w:eastAsia="zh-CN"/>
        </w:rPr>
        <w:t>1</w:t>
      </w:r>
    </w:p>
    <w:p>
      <w:pPr>
        <w:pStyle w:val="2"/>
        <w:tabs>
          <w:tab w:val="right" w:leader="dot" w:pos="14562"/>
        </w:tabs>
      </w:pPr>
      <w:r>
        <w:rPr>
          <w:rFonts w:hint="eastAsia"/>
          <w:lang w:val="en-US" w:eastAsia="zh-CN"/>
        </w:rPr>
        <w:t>8、</w:t>
      </w:r>
      <w:r>
        <w:fldChar w:fldCharType="begin"/>
      </w:r>
      <w:r>
        <w:instrText xml:space="preserve"> HYPERLINK \l "_Toc_2_2_0000000008" </w:instrText>
      </w:r>
      <w:r>
        <w:fldChar w:fldCharType="separate"/>
      </w:r>
      <w:r>
        <w:rPr>
          <w:rFonts w:hint="eastAsia"/>
          <w:lang w:val="en-US" w:eastAsia="zh-CN"/>
        </w:rPr>
        <w:t>单位</w:t>
      </w:r>
      <w:r>
        <w:t>预算国有资本经营预算财政拨款支出表</w:t>
      </w:r>
      <w:r>
        <w:tab/>
      </w:r>
      <w:r>
        <w:fldChar w:fldCharType="begin"/>
      </w:r>
      <w:r>
        <w:instrText xml:space="preserve">PAGEREF _Toc_2_2_0000000008 \h</w:instrText>
      </w:r>
      <w:r>
        <w:fldChar w:fldCharType="separate"/>
      </w:r>
      <w:r>
        <w:t>1</w:t>
      </w:r>
      <w:r>
        <w:rPr>
          <w:rFonts w:hint="eastAsia"/>
          <w:lang w:val="en-US" w:eastAsia="zh-CN"/>
        </w:rPr>
        <w:t>2</w:t>
      </w:r>
      <w:r>
        <w:fldChar w:fldCharType="end"/>
      </w:r>
      <w:r>
        <w:fldChar w:fldCharType="end"/>
      </w:r>
    </w:p>
    <w:p>
      <w:pPr>
        <w:pStyle w:val="2"/>
        <w:tabs>
          <w:tab w:val="right" w:leader="dot" w:pos="14562"/>
        </w:tabs>
      </w:pPr>
      <w:r>
        <w:rPr>
          <w:rFonts w:hint="eastAsia"/>
          <w:lang w:val="en-US" w:eastAsia="zh-CN"/>
        </w:rPr>
        <w:t>9、</w:t>
      </w:r>
      <w:r>
        <w:fldChar w:fldCharType="begin"/>
      </w:r>
      <w:r>
        <w:instrText xml:space="preserve"> HYPERLINK \l "_Toc_2_2_0000000009" </w:instrText>
      </w:r>
      <w:r>
        <w:fldChar w:fldCharType="separate"/>
      </w:r>
      <w:r>
        <w:rPr>
          <w:rFonts w:hint="eastAsia"/>
          <w:lang w:val="en-US" w:eastAsia="zh-CN"/>
        </w:rPr>
        <w:t>单位</w:t>
      </w:r>
      <w:r>
        <w:t>预算财政拨款“三公”经费支出表</w:t>
      </w:r>
      <w:r>
        <w:tab/>
      </w:r>
      <w:r>
        <w:fldChar w:fldCharType="begin"/>
      </w:r>
      <w:r>
        <w:instrText xml:space="preserve">PAGEREF _Toc_2_2_0000000009 \h</w:instrText>
      </w:r>
      <w:r>
        <w:fldChar w:fldCharType="separate"/>
      </w:r>
      <w:r>
        <w:t>1</w:t>
      </w:r>
      <w:r>
        <w:rPr>
          <w:rFonts w:hint="eastAsia"/>
          <w:lang w:val="en-US" w:eastAsia="zh-CN"/>
        </w:rPr>
        <w:t>3</w:t>
      </w:r>
      <w:r>
        <w:fldChar w:fldCharType="end"/>
      </w:r>
      <w:r>
        <w:fldChar w:fldCharType="end"/>
      </w:r>
    </w:p>
    <w:p>
      <w:r>
        <w:fldChar w:fldCharType="end"/>
      </w:r>
    </w:p>
    <w:p>
      <w:pPr>
        <w:spacing w:before="0" w:after="0" w:line="240" w:lineRule="auto"/>
        <w:ind w:firstLine="560" w:firstLineChars="200"/>
        <w:jc w:val="left"/>
        <w:outlineLvl w:val="9"/>
      </w:pPr>
      <w:r>
        <w:rPr>
          <w:rFonts w:hint="eastAsia" w:ascii="方正楷体_GBK" w:hAnsi="方正楷体_GBK" w:eastAsia="方正楷体_GBK" w:cs="方正楷体_GBK"/>
          <w:b/>
          <w:color w:val="000000"/>
          <w:sz w:val="28"/>
          <w:lang w:val="en-US" w:eastAsia="zh-CN"/>
        </w:rPr>
        <w:t>二、单位</w:t>
      </w:r>
      <w:r>
        <w:rPr>
          <w:rFonts w:ascii="方正楷体_GBK" w:hAnsi="方正楷体_GBK" w:eastAsia="方正楷体_GBK" w:cs="方正楷体_GBK"/>
          <w:b/>
          <w:color w:val="000000"/>
          <w:sz w:val="28"/>
        </w:rPr>
        <w:t>预算信息公开情况说明</w:t>
      </w:r>
    </w:p>
    <w:p>
      <w:pPr>
        <w:pStyle w:val="2"/>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rPr>
          <w:rFonts w:hint="eastAsia"/>
          <w:lang w:val="en-US" w:eastAsia="zh-CN"/>
        </w:rPr>
        <w:t>1</w:t>
      </w:r>
      <w:r>
        <w:t>、</w:t>
      </w:r>
      <w:r>
        <w:rPr>
          <w:rFonts w:hint="eastAsia"/>
          <w:lang w:val="en-US" w:eastAsia="zh-CN"/>
        </w:rPr>
        <w:t>单位</w:t>
      </w:r>
      <w:r>
        <w:t>职责及机构设置情况</w:t>
      </w:r>
      <w:r>
        <w:tab/>
      </w:r>
      <w:r>
        <w:fldChar w:fldCharType="begin"/>
      </w:r>
      <w:r>
        <w:instrText xml:space="preserve">PAGEREF _Toc_3_3_0000000010 \h</w:instrText>
      </w:r>
      <w:r>
        <w:fldChar w:fldCharType="separate"/>
      </w:r>
      <w:r>
        <w:t>1</w:t>
      </w:r>
      <w:r>
        <w:rPr>
          <w:rFonts w:hint="eastAsia"/>
          <w:lang w:val="en-US" w:eastAsia="zh-CN"/>
        </w:rPr>
        <w:t>4</w:t>
      </w:r>
      <w:r>
        <w:fldChar w:fldCharType="end"/>
      </w:r>
      <w:r>
        <w:fldChar w:fldCharType="end"/>
      </w:r>
    </w:p>
    <w:p>
      <w:pPr>
        <w:pStyle w:val="2"/>
        <w:tabs>
          <w:tab w:val="right" w:leader="dot" w:pos="14562"/>
        </w:tabs>
      </w:pPr>
      <w:r>
        <w:fldChar w:fldCharType="begin"/>
      </w:r>
      <w:r>
        <w:instrText xml:space="preserve"> HYPERLINK \l "_Toc_3_3_0000000011" </w:instrText>
      </w:r>
      <w:r>
        <w:fldChar w:fldCharType="separate"/>
      </w:r>
      <w:r>
        <w:rPr>
          <w:rFonts w:hint="eastAsia"/>
          <w:lang w:val="en-US" w:eastAsia="zh-CN"/>
        </w:rPr>
        <w:t>2、单位</w:t>
      </w:r>
      <w:r>
        <w:t>预算安排的总体情况</w:t>
      </w:r>
      <w:r>
        <w:tab/>
      </w:r>
      <w:r>
        <w:fldChar w:fldCharType="begin"/>
      </w:r>
      <w:r>
        <w:instrText xml:space="preserve">PAGEREF _Toc_3_3_0000000011 \h</w:instrText>
      </w:r>
      <w:r>
        <w:fldChar w:fldCharType="separate"/>
      </w:r>
      <w:r>
        <w:t>1</w:t>
      </w:r>
      <w:r>
        <w:rPr>
          <w:rFonts w:hint="eastAsia"/>
          <w:lang w:val="en-US" w:eastAsia="zh-CN"/>
        </w:rPr>
        <w:t>5</w:t>
      </w:r>
      <w:r>
        <w:fldChar w:fldCharType="end"/>
      </w:r>
      <w:r>
        <w:fldChar w:fldCharType="end"/>
      </w:r>
    </w:p>
    <w:p>
      <w:pPr>
        <w:pStyle w:val="2"/>
        <w:tabs>
          <w:tab w:val="right" w:leader="dot" w:pos="14562"/>
        </w:tabs>
      </w:pPr>
      <w:r>
        <w:fldChar w:fldCharType="begin"/>
      </w:r>
      <w:r>
        <w:instrText xml:space="preserve"> HYPERLINK \l "_Toc_3_3_0000000012" </w:instrText>
      </w:r>
      <w:r>
        <w:fldChar w:fldCharType="separate"/>
      </w:r>
      <w:r>
        <w:rPr>
          <w:rFonts w:hint="eastAsia"/>
          <w:lang w:val="en-US" w:eastAsia="zh-CN"/>
        </w:rPr>
        <w:t>3、</w:t>
      </w:r>
      <w:r>
        <w:t>机关运行经费安排情况</w:t>
      </w:r>
      <w:r>
        <w:tab/>
      </w:r>
      <w:r>
        <w:fldChar w:fldCharType="begin"/>
      </w:r>
      <w:r>
        <w:instrText xml:space="preserve">PAGEREF _Toc_3_3_0000000012 \h</w:instrText>
      </w:r>
      <w:r>
        <w:fldChar w:fldCharType="separate"/>
      </w:r>
      <w:r>
        <w:t>1</w:t>
      </w:r>
      <w:r>
        <w:rPr>
          <w:rFonts w:hint="eastAsia"/>
          <w:lang w:val="en-US" w:eastAsia="zh-CN"/>
        </w:rPr>
        <w:t>6</w:t>
      </w:r>
      <w:r>
        <w:fldChar w:fldCharType="end"/>
      </w:r>
      <w:r>
        <w:fldChar w:fldCharType="end"/>
      </w:r>
    </w:p>
    <w:p>
      <w:pPr>
        <w:pStyle w:val="2"/>
        <w:tabs>
          <w:tab w:val="right" w:leader="dot" w:pos="14562"/>
        </w:tabs>
      </w:pPr>
      <w:r>
        <w:fldChar w:fldCharType="begin"/>
      </w:r>
      <w:r>
        <w:instrText xml:space="preserve"> HYPERLINK \l "_Toc_3_3_0000000013" </w:instrText>
      </w:r>
      <w:r>
        <w:fldChar w:fldCharType="separate"/>
      </w:r>
      <w:r>
        <w:rPr>
          <w:rFonts w:hint="eastAsia"/>
          <w:lang w:val="en-US" w:eastAsia="zh-CN"/>
        </w:rPr>
        <w:t>4、</w:t>
      </w:r>
      <w:r>
        <w:t>财政拨款“三公”经费预算情况及增减变化原因</w:t>
      </w:r>
      <w:r>
        <w:tab/>
      </w:r>
      <w:r>
        <w:fldChar w:fldCharType="begin"/>
      </w:r>
      <w:r>
        <w:instrText xml:space="preserve">PAGEREF _Toc_3_3_0000000013 \h</w:instrText>
      </w:r>
      <w:r>
        <w:fldChar w:fldCharType="separate"/>
      </w:r>
      <w:r>
        <w:t>1</w:t>
      </w:r>
      <w:r>
        <w:rPr>
          <w:rFonts w:hint="eastAsia"/>
          <w:lang w:val="en-US" w:eastAsia="zh-CN"/>
        </w:rPr>
        <w:t>6</w:t>
      </w:r>
      <w:r>
        <w:fldChar w:fldCharType="end"/>
      </w:r>
      <w:r>
        <w:fldChar w:fldCharType="end"/>
      </w:r>
    </w:p>
    <w:p>
      <w:pPr>
        <w:pStyle w:val="2"/>
        <w:tabs>
          <w:tab w:val="right" w:leader="dot" w:pos="14562"/>
        </w:tabs>
        <w:rPr>
          <w:rFonts w:hint="eastAsia" w:eastAsia="方正仿宋_GBK"/>
          <w:lang w:val="en-US" w:eastAsia="zh-CN"/>
        </w:rPr>
      </w:pPr>
      <w:r>
        <w:rPr>
          <w:rFonts w:hint="eastAsia"/>
          <w:lang w:val="en-US" w:eastAsia="zh-CN"/>
        </w:rPr>
        <w:t>5、</w:t>
      </w:r>
      <w:r>
        <w:fldChar w:fldCharType="begin"/>
      </w:r>
      <w:r>
        <w:instrText xml:space="preserve"> HYPERLINK \l "_Toc_3_3_0000000016" </w:instrText>
      </w:r>
      <w:r>
        <w:fldChar w:fldCharType="separate"/>
      </w:r>
      <w:r>
        <w:rPr>
          <w:rFonts w:hint="eastAsia"/>
          <w:lang w:val="en-US" w:eastAsia="zh-CN"/>
        </w:rPr>
        <w:t>单位</w:t>
      </w:r>
      <w:r>
        <w:t>项目预算安排情况及绩效目标</w:t>
      </w:r>
      <w:r>
        <w:tab/>
      </w:r>
      <w:r>
        <w:rPr>
          <w:rFonts w:hint="eastAsia"/>
          <w:lang w:val="en-US" w:eastAsia="zh-CN"/>
        </w:rPr>
        <w:t>1</w:t>
      </w:r>
      <w:r>
        <w:fldChar w:fldCharType="end"/>
      </w:r>
      <w:r>
        <w:rPr>
          <w:rFonts w:hint="eastAsia"/>
          <w:lang w:val="en-US" w:eastAsia="zh-CN"/>
        </w:rPr>
        <w:t>7</w:t>
      </w:r>
    </w:p>
    <w:p>
      <w:pPr>
        <w:pStyle w:val="2"/>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rPr>
          <w:rFonts w:hint="eastAsia"/>
          <w:lang w:val="en-US" w:eastAsia="zh-CN"/>
        </w:rPr>
        <w:t>6</w:t>
      </w:r>
      <w:r>
        <w:t>、政府采购预算情况</w:t>
      </w:r>
      <w:r>
        <w:tab/>
      </w:r>
      <w:r>
        <w:rPr>
          <w:rFonts w:hint="eastAsia"/>
          <w:lang w:val="en-US" w:eastAsia="zh-CN"/>
        </w:rPr>
        <w:t>3</w:t>
      </w:r>
      <w:r>
        <w:fldChar w:fldCharType="end"/>
      </w:r>
      <w:r>
        <w:rPr>
          <w:rFonts w:hint="eastAsia"/>
          <w:lang w:val="en-US" w:eastAsia="zh-CN"/>
        </w:rPr>
        <w:t>5</w:t>
      </w:r>
    </w:p>
    <w:p>
      <w:pPr>
        <w:pStyle w:val="2"/>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rPr>
          <w:rFonts w:hint="eastAsia"/>
          <w:lang w:val="en-US" w:eastAsia="zh-CN"/>
        </w:rPr>
        <w:t>7</w:t>
      </w:r>
      <w:r>
        <w:t>、国有资产信息</w:t>
      </w:r>
      <w:r>
        <w:tab/>
      </w:r>
      <w:r>
        <w:rPr>
          <w:rFonts w:hint="eastAsia"/>
          <w:lang w:val="en-US" w:eastAsia="zh-CN"/>
        </w:rPr>
        <w:t>3</w:t>
      </w:r>
      <w:r>
        <w:fldChar w:fldCharType="end"/>
      </w:r>
      <w:r>
        <w:rPr>
          <w:rFonts w:hint="eastAsia"/>
          <w:lang w:val="en-US" w:eastAsia="zh-CN"/>
        </w:rPr>
        <w:t>5</w:t>
      </w:r>
    </w:p>
    <w:p>
      <w:pPr>
        <w:pStyle w:val="2"/>
        <w:tabs>
          <w:tab w:val="right" w:leader="dot" w:pos="14562"/>
        </w:tabs>
      </w:pPr>
      <w:r>
        <w:fldChar w:fldCharType="begin"/>
      </w:r>
      <w:r>
        <w:instrText xml:space="preserve"> HYPERLINK \l "_Toc_3_3_0000000019" </w:instrText>
      </w:r>
      <w:r>
        <w:fldChar w:fldCharType="separate"/>
      </w:r>
      <w:r>
        <w:rPr>
          <w:rFonts w:hint="eastAsia"/>
          <w:lang w:val="en-US" w:eastAsia="zh-CN"/>
        </w:rPr>
        <w:t>8</w:t>
      </w:r>
      <w:r>
        <w:t>、名词解释</w:t>
      </w:r>
      <w:r>
        <w:tab/>
      </w:r>
      <w:r>
        <w:fldChar w:fldCharType="begin"/>
      </w:r>
      <w:r>
        <w:instrText xml:space="preserve">PAGEREF _Toc_3_3_0000000019 \h</w:instrText>
      </w:r>
      <w:r>
        <w:fldChar w:fldCharType="separate"/>
      </w:r>
      <w:r>
        <w:t>3</w:t>
      </w:r>
      <w:r>
        <w:rPr>
          <w:rFonts w:hint="eastAsia"/>
          <w:lang w:val="en-US" w:eastAsia="zh-CN"/>
        </w:rPr>
        <w:t>6</w:t>
      </w:r>
      <w:r>
        <w:fldChar w:fldCharType="end"/>
      </w:r>
      <w:r>
        <w:fldChar w:fldCharType="end"/>
      </w:r>
    </w:p>
    <w:p>
      <w:pPr>
        <w:pStyle w:val="2"/>
        <w:tabs>
          <w:tab w:val="right" w:leader="dot" w:pos="14562"/>
        </w:tabs>
      </w:pPr>
      <w:r>
        <w:fldChar w:fldCharType="begin"/>
      </w:r>
      <w:r>
        <w:instrText xml:space="preserve"> HYPERLINK \l "_Toc_3_3_0000000020" </w:instrText>
      </w:r>
      <w:r>
        <w:fldChar w:fldCharType="separate"/>
      </w:r>
      <w:r>
        <w:rPr>
          <w:rFonts w:hint="eastAsia"/>
          <w:lang w:val="en-US" w:eastAsia="zh-CN"/>
        </w:rPr>
        <w:t>9</w:t>
      </w:r>
      <w:r>
        <w:t>、其他需要说明的事项</w:t>
      </w:r>
      <w:r>
        <w:tab/>
      </w:r>
      <w:r>
        <w:rPr>
          <w:rFonts w:hint="eastAsia"/>
          <w:lang w:val="en-US" w:eastAsia="zh-CN"/>
        </w:rPr>
        <w:t>3</w:t>
      </w:r>
      <w:r>
        <w:fldChar w:fldCharType="end"/>
      </w:r>
      <w:r>
        <w:rPr>
          <w:rFonts w:hint="eastAsia"/>
          <w:lang w:val="en-US" w:eastAsia="zh-CN"/>
        </w:rPr>
        <w:t>7</w:t>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一、唐山市丰南区文化馆本级收支预算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408001唐山市丰南区文化馆本级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516.51</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r>
              <w:t>516.51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516.51</w:t>
            </w:r>
          </w:p>
        </w:tc>
        <w:tc>
          <w:tcPr>
            <w:tcW w:w="4535" w:type="dxa"/>
            <w:vAlign w:val="center"/>
          </w:tcPr>
          <w:p>
            <w:pPr>
              <w:pStyle w:val="14"/>
            </w:pPr>
            <w:r>
              <w:t>本年支出合计</w:t>
            </w:r>
          </w:p>
        </w:tc>
        <w:tc>
          <w:tcPr>
            <w:tcW w:w="2126" w:type="dxa"/>
            <w:vAlign w:val="center"/>
          </w:tcPr>
          <w:p>
            <w:pPr>
              <w:pStyle w:val="15"/>
            </w:pPr>
            <w:r>
              <w:t>516.51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516.51</w:t>
            </w:r>
          </w:p>
        </w:tc>
        <w:tc>
          <w:tcPr>
            <w:tcW w:w="4535" w:type="dxa"/>
            <w:vAlign w:val="center"/>
          </w:tcPr>
          <w:p>
            <w:pPr>
              <w:pStyle w:val="14"/>
            </w:pPr>
            <w:r>
              <w:t>支出总计</w:t>
            </w:r>
          </w:p>
        </w:tc>
        <w:tc>
          <w:tcPr>
            <w:tcW w:w="2126" w:type="dxa"/>
            <w:vAlign w:val="center"/>
          </w:tcPr>
          <w:p>
            <w:pPr>
              <w:pStyle w:val="15"/>
            </w:pPr>
            <w:r>
              <w:t>516.51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408001唐山市丰南区文化馆本级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516.51</w:t>
            </w:r>
          </w:p>
        </w:tc>
        <w:tc>
          <w:tcPr>
            <w:tcW w:w="1134" w:type="dxa"/>
            <w:vAlign w:val="center"/>
          </w:tcPr>
          <w:p>
            <w:pPr>
              <w:pStyle w:val="15"/>
            </w:pPr>
            <w:r>
              <w:t>516.51</w:t>
            </w:r>
          </w:p>
        </w:tc>
        <w:tc>
          <w:tcPr>
            <w:tcW w:w="1134" w:type="dxa"/>
            <w:vAlign w:val="center"/>
          </w:tcPr>
          <w:p>
            <w:pPr>
              <w:pStyle w:val="15"/>
            </w:pPr>
            <w:r>
              <w:t>516.51</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207</w:t>
            </w:r>
          </w:p>
        </w:tc>
        <w:tc>
          <w:tcPr>
            <w:tcW w:w="1559" w:type="dxa"/>
            <w:vAlign w:val="center"/>
          </w:tcPr>
          <w:p>
            <w:pPr>
              <w:pStyle w:val="12"/>
            </w:pPr>
            <w:r>
              <w:t>文化旅游体育与传媒支出</w:t>
            </w:r>
          </w:p>
        </w:tc>
        <w:tc>
          <w:tcPr>
            <w:tcW w:w="1134" w:type="dxa"/>
            <w:vAlign w:val="center"/>
          </w:tcPr>
          <w:p>
            <w:pPr>
              <w:pStyle w:val="11"/>
            </w:pPr>
            <w:r>
              <w:t>516.51</w:t>
            </w:r>
          </w:p>
        </w:tc>
        <w:tc>
          <w:tcPr>
            <w:tcW w:w="1134" w:type="dxa"/>
            <w:vAlign w:val="center"/>
          </w:tcPr>
          <w:p>
            <w:pPr>
              <w:pStyle w:val="11"/>
            </w:pPr>
            <w:r>
              <w:t>516.51</w:t>
            </w:r>
          </w:p>
        </w:tc>
        <w:tc>
          <w:tcPr>
            <w:tcW w:w="1134" w:type="dxa"/>
            <w:vAlign w:val="center"/>
          </w:tcPr>
          <w:p>
            <w:pPr>
              <w:pStyle w:val="11"/>
            </w:pPr>
            <w:r>
              <w:t>516.51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20701</w:t>
            </w:r>
          </w:p>
        </w:tc>
        <w:tc>
          <w:tcPr>
            <w:tcW w:w="1559" w:type="dxa"/>
            <w:vAlign w:val="center"/>
          </w:tcPr>
          <w:p>
            <w:pPr>
              <w:pStyle w:val="12"/>
            </w:pPr>
            <w:r>
              <w:t>文化和旅游</w:t>
            </w:r>
          </w:p>
        </w:tc>
        <w:tc>
          <w:tcPr>
            <w:tcW w:w="1134" w:type="dxa"/>
            <w:vAlign w:val="center"/>
          </w:tcPr>
          <w:p>
            <w:pPr>
              <w:pStyle w:val="11"/>
            </w:pPr>
            <w:r>
              <w:t>514.51</w:t>
            </w:r>
          </w:p>
        </w:tc>
        <w:tc>
          <w:tcPr>
            <w:tcW w:w="1134" w:type="dxa"/>
            <w:vAlign w:val="center"/>
          </w:tcPr>
          <w:p>
            <w:pPr>
              <w:pStyle w:val="11"/>
            </w:pPr>
            <w:r>
              <w:t>514.51</w:t>
            </w:r>
          </w:p>
        </w:tc>
        <w:tc>
          <w:tcPr>
            <w:tcW w:w="1134" w:type="dxa"/>
            <w:vAlign w:val="center"/>
          </w:tcPr>
          <w:p>
            <w:pPr>
              <w:pStyle w:val="11"/>
            </w:pPr>
            <w:r>
              <w:t>514.51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2070104</w:t>
            </w:r>
          </w:p>
        </w:tc>
        <w:tc>
          <w:tcPr>
            <w:tcW w:w="1559" w:type="dxa"/>
            <w:vAlign w:val="center"/>
          </w:tcPr>
          <w:p>
            <w:pPr>
              <w:pStyle w:val="12"/>
            </w:pPr>
            <w:r>
              <w:t>图书馆</w:t>
            </w:r>
          </w:p>
        </w:tc>
        <w:tc>
          <w:tcPr>
            <w:tcW w:w="1134" w:type="dxa"/>
            <w:vAlign w:val="center"/>
          </w:tcPr>
          <w:p>
            <w:pPr>
              <w:pStyle w:val="11"/>
            </w:pPr>
            <w:r>
              <w:t>10.80</w:t>
            </w:r>
          </w:p>
        </w:tc>
        <w:tc>
          <w:tcPr>
            <w:tcW w:w="1134" w:type="dxa"/>
            <w:vAlign w:val="center"/>
          </w:tcPr>
          <w:p>
            <w:pPr>
              <w:pStyle w:val="11"/>
            </w:pPr>
            <w:r>
              <w:t>10.80</w:t>
            </w:r>
          </w:p>
        </w:tc>
        <w:tc>
          <w:tcPr>
            <w:tcW w:w="1134" w:type="dxa"/>
            <w:vAlign w:val="center"/>
          </w:tcPr>
          <w:p>
            <w:pPr>
              <w:pStyle w:val="11"/>
            </w:pPr>
            <w:r>
              <w:t>10.80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2070109</w:t>
            </w:r>
          </w:p>
        </w:tc>
        <w:tc>
          <w:tcPr>
            <w:tcW w:w="1559" w:type="dxa"/>
            <w:vAlign w:val="center"/>
          </w:tcPr>
          <w:p>
            <w:pPr>
              <w:pStyle w:val="12"/>
            </w:pPr>
            <w:r>
              <w:t>群众文化</w:t>
            </w:r>
          </w:p>
        </w:tc>
        <w:tc>
          <w:tcPr>
            <w:tcW w:w="1134" w:type="dxa"/>
            <w:vAlign w:val="center"/>
          </w:tcPr>
          <w:p>
            <w:pPr>
              <w:pStyle w:val="11"/>
            </w:pPr>
            <w:r>
              <w:t>493.71</w:t>
            </w:r>
          </w:p>
        </w:tc>
        <w:tc>
          <w:tcPr>
            <w:tcW w:w="1134" w:type="dxa"/>
            <w:vAlign w:val="center"/>
          </w:tcPr>
          <w:p>
            <w:pPr>
              <w:pStyle w:val="11"/>
            </w:pPr>
            <w:r>
              <w:t>493.71</w:t>
            </w:r>
          </w:p>
        </w:tc>
        <w:tc>
          <w:tcPr>
            <w:tcW w:w="1134" w:type="dxa"/>
            <w:vAlign w:val="center"/>
          </w:tcPr>
          <w:p>
            <w:pPr>
              <w:pStyle w:val="11"/>
            </w:pPr>
            <w:r>
              <w:t>493.71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2070199</w:t>
            </w:r>
          </w:p>
        </w:tc>
        <w:tc>
          <w:tcPr>
            <w:tcW w:w="1559" w:type="dxa"/>
            <w:vAlign w:val="center"/>
          </w:tcPr>
          <w:p>
            <w:pPr>
              <w:pStyle w:val="12"/>
            </w:pPr>
            <w:r>
              <w:t>其他文化和旅游支出</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20799</w:t>
            </w:r>
          </w:p>
        </w:tc>
        <w:tc>
          <w:tcPr>
            <w:tcW w:w="1559" w:type="dxa"/>
            <w:vAlign w:val="center"/>
          </w:tcPr>
          <w:p>
            <w:pPr>
              <w:pStyle w:val="12"/>
            </w:pPr>
            <w:r>
              <w:t>其他文化旅游体育与传媒支出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2079999</w:t>
            </w:r>
          </w:p>
        </w:tc>
        <w:tc>
          <w:tcPr>
            <w:tcW w:w="1559" w:type="dxa"/>
            <w:vAlign w:val="center"/>
          </w:tcPr>
          <w:p>
            <w:pPr>
              <w:pStyle w:val="12"/>
            </w:pPr>
            <w:r>
              <w:t>其他文化旅游体育与传媒支出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516.51</w:t>
            </w:r>
          </w:p>
        </w:tc>
        <w:tc>
          <w:tcPr>
            <w:tcW w:w="1361" w:type="dxa"/>
            <w:vAlign w:val="center"/>
          </w:tcPr>
          <w:p>
            <w:pPr>
              <w:pStyle w:val="15"/>
            </w:pPr>
            <w:r>
              <w:t>442.01</w:t>
            </w:r>
          </w:p>
        </w:tc>
        <w:tc>
          <w:tcPr>
            <w:tcW w:w="1361" w:type="dxa"/>
            <w:vAlign w:val="center"/>
          </w:tcPr>
          <w:p>
            <w:pPr>
              <w:pStyle w:val="15"/>
            </w:pPr>
            <w:r>
              <w:t>74.50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207</w:t>
            </w:r>
          </w:p>
        </w:tc>
        <w:tc>
          <w:tcPr>
            <w:tcW w:w="4535" w:type="dxa"/>
            <w:vAlign w:val="center"/>
          </w:tcPr>
          <w:p>
            <w:pPr>
              <w:pStyle w:val="12"/>
            </w:pPr>
            <w:r>
              <w:t>文化旅游体育与传媒支出</w:t>
            </w:r>
          </w:p>
        </w:tc>
        <w:tc>
          <w:tcPr>
            <w:tcW w:w="1361" w:type="dxa"/>
            <w:vAlign w:val="center"/>
          </w:tcPr>
          <w:p>
            <w:pPr>
              <w:pStyle w:val="11"/>
            </w:pPr>
            <w:r>
              <w:t>516.51</w:t>
            </w:r>
          </w:p>
        </w:tc>
        <w:tc>
          <w:tcPr>
            <w:tcW w:w="1361" w:type="dxa"/>
            <w:vAlign w:val="center"/>
          </w:tcPr>
          <w:p>
            <w:pPr>
              <w:pStyle w:val="11"/>
            </w:pPr>
            <w:r>
              <w:t>442.01</w:t>
            </w:r>
          </w:p>
        </w:tc>
        <w:tc>
          <w:tcPr>
            <w:tcW w:w="1361" w:type="dxa"/>
            <w:vAlign w:val="center"/>
          </w:tcPr>
          <w:p>
            <w:pPr>
              <w:pStyle w:val="11"/>
            </w:pPr>
            <w:r>
              <w:t>74.50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20701</w:t>
            </w:r>
          </w:p>
        </w:tc>
        <w:tc>
          <w:tcPr>
            <w:tcW w:w="4535" w:type="dxa"/>
            <w:vAlign w:val="center"/>
          </w:tcPr>
          <w:p>
            <w:pPr>
              <w:pStyle w:val="12"/>
            </w:pPr>
            <w:r>
              <w:t>文化和旅游</w:t>
            </w:r>
          </w:p>
        </w:tc>
        <w:tc>
          <w:tcPr>
            <w:tcW w:w="1361" w:type="dxa"/>
            <w:vAlign w:val="center"/>
          </w:tcPr>
          <w:p>
            <w:pPr>
              <w:pStyle w:val="11"/>
            </w:pPr>
            <w:r>
              <w:t>514.51</w:t>
            </w:r>
          </w:p>
        </w:tc>
        <w:tc>
          <w:tcPr>
            <w:tcW w:w="1361" w:type="dxa"/>
            <w:vAlign w:val="center"/>
          </w:tcPr>
          <w:p>
            <w:pPr>
              <w:pStyle w:val="11"/>
            </w:pPr>
            <w:r>
              <w:t>442.01</w:t>
            </w:r>
          </w:p>
        </w:tc>
        <w:tc>
          <w:tcPr>
            <w:tcW w:w="1361" w:type="dxa"/>
            <w:vAlign w:val="center"/>
          </w:tcPr>
          <w:p>
            <w:pPr>
              <w:pStyle w:val="11"/>
            </w:pPr>
            <w:r>
              <w:t>72.50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2070104</w:t>
            </w:r>
          </w:p>
        </w:tc>
        <w:tc>
          <w:tcPr>
            <w:tcW w:w="4535" w:type="dxa"/>
            <w:vAlign w:val="center"/>
          </w:tcPr>
          <w:p>
            <w:pPr>
              <w:pStyle w:val="12"/>
            </w:pPr>
            <w:r>
              <w:t>图书馆</w:t>
            </w:r>
          </w:p>
        </w:tc>
        <w:tc>
          <w:tcPr>
            <w:tcW w:w="1361" w:type="dxa"/>
            <w:vAlign w:val="center"/>
          </w:tcPr>
          <w:p>
            <w:pPr>
              <w:pStyle w:val="11"/>
            </w:pPr>
            <w:r>
              <w:t>10.80</w:t>
            </w:r>
          </w:p>
        </w:tc>
        <w:tc>
          <w:tcPr>
            <w:tcW w:w="1361" w:type="dxa"/>
            <w:vAlign w:val="center"/>
          </w:tcPr>
          <w:p>
            <w:pPr>
              <w:pStyle w:val="11"/>
            </w:pPr>
          </w:p>
        </w:tc>
        <w:tc>
          <w:tcPr>
            <w:tcW w:w="1361" w:type="dxa"/>
            <w:vAlign w:val="center"/>
          </w:tcPr>
          <w:p>
            <w:pPr>
              <w:pStyle w:val="11"/>
            </w:pPr>
            <w:r>
              <w:t>10.80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2070109</w:t>
            </w:r>
          </w:p>
        </w:tc>
        <w:tc>
          <w:tcPr>
            <w:tcW w:w="4535" w:type="dxa"/>
            <w:vAlign w:val="center"/>
          </w:tcPr>
          <w:p>
            <w:pPr>
              <w:pStyle w:val="12"/>
            </w:pPr>
            <w:r>
              <w:t>群众文化</w:t>
            </w:r>
          </w:p>
        </w:tc>
        <w:tc>
          <w:tcPr>
            <w:tcW w:w="1361" w:type="dxa"/>
            <w:vAlign w:val="center"/>
          </w:tcPr>
          <w:p>
            <w:pPr>
              <w:pStyle w:val="11"/>
            </w:pPr>
            <w:r>
              <w:t>493.71</w:t>
            </w:r>
          </w:p>
        </w:tc>
        <w:tc>
          <w:tcPr>
            <w:tcW w:w="1361" w:type="dxa"/>
            <w:vAlign w:val="center"/>
          </w:tcPr>
          <w:p>
            <w:pPr>
              <w:pStyle w:val="11"/>
            </w:pPr>
            <w:r>
              <w:t>442.01</w:t>
            </w:r>
          </w:p>
        </w:tc>
        <w:tc>
          <w:tcPr>
            <w:tcW w:w="1361" w:type="dxa"/>
            <w:vAlign w:val="center"/>
          </w:tcPr>
          <w:p>
            <w:pPr>
              <w:pStyle w:val="11"/>
            </w:pPr>
            <w:r>
              <w:t>51.70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2070199</w:t>
            </w:r>
          </w:p>
        </w:tc>
        <w:tc>
          <w:tcPr>
            <w:tcW w:w="4535" w:type="dxa"/>
            <w:vAlign w:val="center"/>
          </w:tcPr>
          <w:p>
            <w:pPr>
              <w:pStyle w:val="12"/>
            </w:pPr>
            <w:r>
              <w:t>其他文化和旅游支出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20799</w:t>
            </w:r>
          </w:p>
        </w:tc>
        <w:tc>
          <w:tcPr>
            <w:tcW w:w="4535" w:type="dxa"/>
            <w:vAlign w:val="center"/>
          </w:tcPr>
          <w:p>
            <w:pPr>
              <w:pStyle w:val="12"/>
            </w:pPr>
            <w:r>
              <w:t>其他文化旅游体育与传媒支出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2079999</w:t>
            </w:r>
          </w:p>
        </w:tc>
        <w:tc>
          <w:tcPr>
            <w:tcW w:w="4535" w:type="dxa"/>
            <w:vAlign w:val="center"/>
          </w:tcPr>
          <w:p>
            <w:pPr>
              <w:pStyle w:val="12"/>
            </w:pPr>
            <w:r>
              <w:t>其他文化旅游体育与传媒支出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516.51</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r>
              <w:t>516.51</w:t>
            </w:r>
          </w:p>
        </w:tc>
        <w:tc>
          <w:tcPr>
            <w:tcW w:w="1474" w:type="dxa"/>
            <w:vAlign w:val="center"/>
          </w:tcPr>
          <w:p>
            <w:pPr>
              <w:pStyle w:val="11"/>
            </w:pPr>
            <w:r>
              <w:t>516.51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516.51</w:t>
            </w:r>
          </w:p>
        </w:tc>
        <w:tc>
          <w:tcPr>
            <w:tcW w:w="3402" w:type="dxa"/>
            <w:vAlign w:val="center"/>
          </w:tcPr>
          <w:p>
            <w:pPr>
              <w:pStyle w:val="14"/>
            </w:pPr>
            <w:r>
              <w:t>本年支出合计</w:t>
            </w:r>
          </w:p>
        </w:tc>
        <w:tc>
          <w:tcPr>
            <w:tcW w:w="1474" w:type="dxa"/>
            <w:vAlign w:val="center"/>
          </w:tcPr>
          <w:p>
            <w:pPr>
              <w:pStyle w:val="15"/>
            </w:pPr>
            <w:r>
              <w:t>516.51</w:t>
            </w:r>
          </w:p>
        </w:tc>
        <w:tc>
          <w:tcPr>
            <w:tcW w:w="1474" w:type="dxa"/>
            <w:vAlign w:val="center"/>
          </w:tcPr>
          <w:p>
            <w:pPr>
              <w:pStyle w:val="15"/>
            </w:pPr>
            <w:r>
              <w:t>516.51</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516.51</w:t>
            </w:r>
          </w:p>
        </w:tc>
        <w:tc>
          <w:tcPr>
            <w:tcW w:w="3402" w:type="dxa"/>
            <w:vAlign w:val="center"/>
          </w:tcPr>
          <w:p>
            <w:pPr>
              <w:pStyle w:val="14"/>
            </w:pPr>
            <w:r>
              <w:t>支出总计</w:t>
            </w:r>
          </w:p>
        </w:tc>
        <w:tc>
          <w:tcPr>
            <w:tcW w:w="1474" w:type="dxa"/>
            <w:vAlign w:val="center"/>
          </w:tcPr>
          <w:p>
            <w:pPr>
              <w:pStyle w:val="15"/>
            </w:pPr>
            <w:r>
              <w:t>516.51</w:t>
            </w:r>
          </w:p>
        </w:tc>
        <w:tc>
          <w:tcPr>
            <w:tcW w:w="1474" w:type="dxa"/>
            <w:vAlign w:val="center"/>
          </w:tcPr>
          <w:p>
            <w:pPr>
              <w:pStyle w:val="15"/>
            </w:pPr>
            <w:r>
              <w:t>516.51</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516.51</w:t>
            </w:r>
          </w:p>
        </w:tc>
        <w:tc>
          <w:tcPr>
            <w:tcW w:w="2551" w:type="dxa"/>
            <w:vAlign w:val="center"/>
          </w:tcPr>
          <w:p>
            <w:pPr>
              <w:pStyle w:val="15"/>
            </w:pPr>
            <w:r>
              <w:t>442.01</w:t>
            </w:r>
          </w:p>
        </w:tc>
        <w:tc>
          <w:tcPr>
            <w:tcW w:w="2551" w:type="dxa"/>
            <w:vAlign w:val="center"/>
          </w:tcPr>
          <w:p>
            <w:pPr>
              <w:pStyle w:val="15"/>
            </w:pPr>
            <w:r>
              <w:t>74.50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207</w:t>
            </w:r>
          </w:p>
        </w:tc>
        <w:tc>
          <w:tcPr>
            <w:tcW w:w="4535" w:type="dxa"/>
            <w:vAlign w:val="center"/>
          </w:tcPr>
          <w:p>
            <w:pPr>
              <w:pStyle w:val="12"/>
            </w:pPr>
            <w:r>
              <w:t>文化旅游体育与传媒支出</w:t>
            </w:r>
          </w:p>
        </w:tc>
        <w:tc>
          <w:tcPr>
            <w:tcW w:w="2551" w:type="dxa"/>
            <w:vAlign w:val="center"/>
          </w:tcPr>
          <w:p>
            <w:pPr>
              <w:pStyle w:val="11"/>
            </w:pPr>
            <w:r>
              <w:t>516.51</w:t>
            </w:r>
          </w:p>
        </w:tc>
        <w:tc>
          <w:tcPr>
            <w:tcW w:w="2551" w:type="dxa"/>
            <w:vAlign w:val="center"/>
          </w:tcPr>
          <w:p>
            <w:pPr>
              <w:pStyle w:val="11"/>
            </w:pPr>
            <w:r>
              <w:t>442.01</w:t>
            </w:r>
          </w:p>
        </w:tc>
        <w:tc>
          <w:tcPr>
            <w:tcW w:w="2551" w:type="dxa"/>
            <w:vAlign w:val="center"/>
          </w:tcPr>
          <w:p>
            <w:pPr>
              <w:pStyle w:val="11"/>
            </w:pPr>
            <w:r>
              <w:t>74.50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20701</w:t>
            </w:r>
          </w:p>
        </w:tc>
        <w:tc>
          <w:tcPr>
            <w:tcW w:w="4535" w:type="dxa"/>
            <w:vAlign w:val="center"/>
          </w:tcPr>
          <w:p>
            <w:pPr>
              <w:pStyle w:val="12"/>
            </w:pPr>
            <w:r>
              <w:t>文化和旅游</w:t>
            </w:r>
          </w:p>
        </w:tc>
        <w:tc>
          <w:tcPr>
            <w:tcW w:w="2551" w:type="dxa"/>
            <w:vAlign w:val="center"/>
          </w:tcPr>
          <w:p>
            <w:pPr>
              <w:pStyle w:val="11"/>
            </w:pPr>
            <w:r>
              <w:t>514.51</w:t>
            </w:r>
          </w:p>
        </w:tc>
        <w:tc>
          <w:tcPr>
            <w:tcW w:w="2551" w:type="dxa"/>
            <w:vAlign w:val="center"/>
          </w:tcPr>
          <w:p>
            <w:pPr>
              <w:pStyle w:val="11"/>
            </w:pPr>
            <w:r>
              <w:t>442.01</w:t>
            </w:r>
          </w:p>
        </w:tc>
        <w:tc>
          <w:tcPr>
            <w:tcW w:w="2551" w:type="dxa"/>
            <w:vAlign w:val="center"/>
          </w:tcPr>
          <w:p>
            <w:pPr>
              <w:pStyle w:val="11"/>
            </w:pPr>
            <w:r>
              <w:t>72.50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2070104</w:t>
            </w:r>
          </w:p>
        </w:tc>
        <w:tc>
          <w:tcPr>
            <w:tcW w:w="4535" w:type="dxa"/>
            <w:vAlign w:val="center"/>
          </w:tcPr>
          <w:p>
            <w:pPr>
              <w:pStyle w:val="12"/>
            </w:pPr>
            <w:r>
              <w:t>图书馆</w:t>
            </w:r>
          </w:p>
        </w:tc>
        <w:tc>
          <w:tcPr>
            <w:tcW w:w="2551" w:type="dxa"/>
            <w:vAlign w:val="center"/>
          </w:tcPr>
          <w:p>
            <w:pPr>
              <w:pStyle w:val="11"/>
            </w:pPr>
            <w:r>
              <w:t>10.80</w:t>
            </w:r>
          </w:p>
        </w:tc>
        <w:tc>
          <w:tcPr>
            <w:tcW w:w="2551" w:type="dxa"/>
            <w:vAlign w:val="center"/>
          </w:tcPr>
          <w:p>
            <w:pPr>
              <w:pStyle w:val="11"/>
            </w:pPr>
          </w:p>
        </w:tc>
        <w:tc>
          <w:tcPr>
            <w:tcW w:w="2551" w:type="dxa"/>
            <w:vAlign w:val="center"/>
          </w:tcPr>
          <w:p>
            <w:pPr>
              <w:pStyle w:val="11"/>
            </w:pPr>
            <w:r>
              <w:t>10.80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2070109</w:t>
            </w:r>
          </w:p>
        </w:tc>
        <w:tc>
          <w:tcPr>
            <w:tcW w:w="4535" w:type="dxa"/>
            <w:vAlign w:val="center"/>
          </w:tcPr>
          <w:p>
            <w:pPr>
              <w:pStyle w:val="12"/>
            </w:pPr>
            <w:r>
              <w:t>群众文化</w:t>
            </w:r>
          </w:p>
        </w:tc>
        <w:tc>
          <w:tcPr>
            <w:tcW w:w="2551" w:type="dxa"/>
            <w:vAlign w:val="center"/>
          </w:tcPr>
          <w:p>
            <w:pPr>
              <w:pStyle w:val="11"/>
            </w:pPr>
            <w:r>
              <w:t>493.71</w:t>
            </w:r>
          </w:p>
        </w:tc>
        <w:tc>
          <w:tcPr>
            <w:tcW w:w="2551" w:type="dxa"/>
            <w:vAlign w:val="center"/>
          </w:tcPr>
          <w:p>
            <w:pPr>
              <w:pStyle w:val="11"/>
            </w:pPr>
            <w:r>
              <w:t>442.01</w:t>
            </w:r>
          </w:p>
        </w:tc>
        <w:tc>
          <w:tcPr>
            <w:tcW w:w="2551" w:type="dxa"/>
            <w:vAlign w:val="center"/>
          </w:tcPr>
          <w:p>
            <w:pPr>
              <w:pStyle w:val="11"/>
            </w:pPr>
            <w:r>
              <w:t>51.70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2070199</w:t>
            </w:r>
          </w:p>
        </w:tc>
        <w:tc>
          <w:tcPr>
            <w:tcW w:w="4535" w:type="dxa"/>
            <w:vAlign w:val="center"/>
          </w:tcPr>
          <w:p>
            <w:pPr>
              <w:pStyle w:val="12"/>
            </w:pPr>
            <w:r>
              <w:t>其他文化和旅游支出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20799</w:t>
            </w:r>
          </w:p>
        </w:tc>
        <w:tc>
          <w:tcPr>
            <w:tcW w:w="4535" w:type="dxa"/>
            <w:vAlign w:val="center"/>
          </w:tcPr>
          <w:p>
            <w:pPr>
              <w:pStyle w:val="12"/>
            </w:pPr>
            <w:r>
              <w:t>其他文化旅游体育与传媒支出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2079999</w:t>
            </w:r>
          </w:p>
        </w:tc>
        <w:tc>
          <w:tcPr>
            <w:tcW w:w="4535" w:type="dxa"/>
            <w:vAlign w:val="center"/>
          </w:tcPr>
          <w:p>
            <w:pPr>
              <w:pStyle w:val="12"/>
            </w:pPr>
            <w:r>
              <w:t>其他文化旅游体育与传媒支出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442.01</w:t>
            </w:r>
          </w:p>
        </w:tc>
        <w:tc>
          <w:tcPr>
            <w:tcW w:w="2551" w:type="dxa"/>
            <w:vAlign w:val="center"/>
          </w:tcPr>
          <w:p>
            <w:pPr>
              <w:pStyle w:val="15"/>
            </w:pPr>
            <w:r>
              <w:t>425.83</w:t>
            </w:r>
          </w:p>
        </w:tc>
        <w:tc>
          <w:tcPr>
            <w:tcW w:w="2551" w:type="dxa"/>
            <w:vAlign w:val="center"/>
          </w:tcPr>
          <w:p>
            <w:pPr>
              <w:pStyle w:val="15"/>
            </w:pPr>
            <w:r>
              <w:t>16.18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380.07</w:t>
            </w:r>
          </w:p>
        </w:tc>
        <w:tc>
          <w:tcPr>
            <w:tcW w:w="2551" w:type="dxa"/>
            <w:vAlign w:val="center"/>
          </w:tcPr>
          <w:p>
            <w:pPr>
              <w:pStyle w:val="11"/>
            </w:pPr>
            <w:r>
              <w:t>380.07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104.67</w:t>
            </w:r>
          </w:p>
        </w:tc>
        <w:tc>
          <w:tcPr>
            <w:tcW w:w="2551" w:type="dxa"/>
            <w:vAlign w:val="center"/>
          </w:tcPr>
          <w:p>
            <w:pPr>
              <w:pStyle w:val="11"/>
            </w:pPr>
            <w:r>
              <w:t>104.67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20.01</w:t>
            </w:r>
          </w:p>
        </w:tc>
        <w:tc>
          <w:tcPr>
            <w:tcW w:w="2551" w:type="dxa"/>
            <w:vAlign w:val="center"/>
          </w:tcPr>
          <w:p>
            <w:pPr>
              <w:pStyle w:val="11"/>
            </w:pPr>
            <w:r>
              <w:t>20.01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119.75</w:t>
            </w:r>
          </w:p>
        </w:tc>
        <w:tc>
          <w:tcPr>
            <w:tcW w:w="2551" w:type="dxa"/>
            <w:vAlign w:val="center"/>
          </w:tcPr>
          <w:p>
            <w:pPr>
              <w:pStyle w:val="11"/>
            </w:pPr>
            <w:r>
              <w:t>119.75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35.37</w:t>
            </w:r>
          </w:p>
        </w:tc>
        <w:tc>
          <w:tcPr>
            <w:tcW w:w="2551" w:type="dxa"/>
            <w:vAlign w:val="center"/>
          </w:tcPr>
          <w:p>
            <w:pPr>
              <w:pStyle w:val="11"/>
            </w:pPr>
            <w:r>
              <w:t>35.37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13.90</w:t>
            </w:r>
          </w:p>
        </w:tc>
        <w:tc>
          <w:tcPr>
            <w:tcW w:w="2551" w:type="dxa"/>
            <w:vAlign w:val="center"/>
          </w:tcPr>
          <w:p>
            <w:pPr>
              <w:pStyle w:val="11"/>
            </w:pPr>
            <w:r>
              <w:t>13.90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15.30</w:t>
            </w:r>
          </w:p>
        </w:tc>
        <w:tc>
          <w:tcPr>
            <w:tcW w:w="2551" w:type="dxa"/>
            <w:vAlign w:val="center"/>
          </w:tcPr>
          <w:p>
            <w:pPr>
              <w:pStyle w:val="11"/>
            </w:pPr>
            <w:r>
              <w:t>15.30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2.30</w:t>
            </w:r>
          </w:p>
        </w:tc>
        <w:tc>
          <w:tcPr>
            <w:tcW w:w="2551" w:type="dxa"/>
            <w:vAlign w:val="center"/>
          </w:tcPr>
          <w:p>
            <w:pPr>
              <w:pStyle w:val="11"/>
            </w:pPr>
            <w:r>
              <w:t>2.30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28.71</w:t>
            </w:r>
          </w:p>
        </w:tc>
        <w:tc>
          <w:tcPr>
            <w:tcW w:w="2551" w:type="dxa"/>
            <w:vAlign w:val="center"/>
          </w:tcPr>
          <w:p>
            <w:pPr>
              <w:pStyle w:val="11"/>
            </w:pPr>
            <w:r>
              <w:t>28.71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30199</w:t>
            </w:r>
          </w:p>
        </w:tc>
        <w:tc>
          <w:tcPr>
            <w:tcW w:w="4535" w:type="dxa"/>
            <w:vAlign w:val="center"/>
          </w:tcPr>
          <w:p>
            <w:pPr>
              <w:pStyle w:val="12"/>
            </w:pPr>
            <w:r>
              <w:t>其他工资福利支出</w:t>
            </w:r>
          </w:p>
        </w:tc>
        <w:tc>
          <w:tcPr>
            <w:tcW w:w="2551" w:type="dxa"/>
            <w:vAlign w:val="center"/>
          </w:tcPr>
          <w:p>
            <w:pPr>
              <w:pStyle w:val="11"/>
            </w:pPr>
            <w:r>
              <w:t>40.06</w:t>
            </w:r>
          </w:p>
        </w:tc>
        <w:tc>
          <w:tcPr>
            <w:tcW w:w="2551" w:type="dxa"/>
            <w:vAlign w:val="center"/>
          </w:tcPr>
          <w:p>
            <w:pPr>
              <w:pStyle w:val="11"/>
            </w:pPr>
            <w:r>
              <w:t>40.06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14.68</w:t>
            </w:r>
          </w:p>
        </w:tc>
        <w:tc>
          <w:tcPr>
            <w:tcW w:w="2551" w:type="dxa"/>
            <w:vAlign w:val="center"/>
          </w:tcPr>
          <w:p>
            <w:pPr>
              <w:pStyle w:val="11"/>
            </w:pPr>
          </w:p>
        </w:tc>
        <w:tc>
          <w:tcPr>
            <w:tcW w:w="2551" w:type="dxa"/>
            <w:vAlign w:val="center"/>
          </w:tcPr>
          <w:p>
            <w:pPr>
              <w:pStyle w:val="11"/>
            </w:pPr>
            <w:r>
              <w:t>14.68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0.30</w:t>
            </w:r>
          </w:p>
        </w:tc>
        <w:tc>
          <w:tcPr>
            <w:tcW w:w="2551" w:type="dxa"/>
            <w:vAlign w:val="center"/>
          </w:tcPr>
          <w:p>
            <w:pPr>
              <w:pStyle w:val="11"/>
            </w:pPr>
          </w:p>
        </w:tc>
        <w:tc>
          <w:tcPr>
            <w:tcW w:w="2551" w:type="dxa"/>
            <w:vAlign w:val="center"/>
          </w:tcPr>
          <w:p>
            <w:pPr>
              <w:pStyle w:val="11"/>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0.30</w:t>
            </w:r>
          </w:p>
        </w:tc>
        <w:tc>
          <w:tcPr>
            <w:tcW w:w="2551" w:type="dxa"/>
            <w:vAlign w:val="center"/>
          </w:tcPr>
          <w:p>
            <w:pPr>
              <w:pStyle w:val="11"/>
            </w:pPr>
          </w:p>
        </w:tc>
        <w:tc>
          <w:tcPr>
            <w:tcW w:w="2551" w:type="dxa"/>
            <w:vAlign w:val="center"/>
          </w:tcPr>
          <w:p>
            <w:pPr>
              <w:pStyle w:val="11"/>
            </w:pPr>
            <w:r>
              <w:t>0.30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5.81</w:t>
            </w:r>
          </w:p>
        </w:tc>
        <w:tc>
          <w:tcPr>
            <w:tcW w:w="2551" w:type="dxa"/>
            <w:vAlign w:val="center"/>
          </w:tcPr>
          <w:p>
            <w:pPr>
              <w:pStyle w:val="11"/>
            </w:pPr>
          </w:p>
        </w:tc>
        <w:tc>
          <w:tcPr>
            <w:tcW w:w="2551" w:type="dxa"/>
            <w:vAlign w:val="center"/>
          </w:tcPr>
          <w:p>
            <w:pPr>
              <w:pStyle w:val="11"/>
            </w:pPr>
            <w:r>
              <w:t>5.81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2.90</w:t>
            </w:r>
          </w:p>
        </w:tc>
        <w:tc>
          <w:tcPr>
            <w:tcW w:w="2551" w:type="dxa"/>
            <w:vAlign w:val="center"/>
          </w:tcPr>
          <w:p>
            <w:pPr>
              <w:pStyle w:val="11"/>
            </w:pPr>
          </w:p>
        </w:tc>
        <w:tc>
          <w:tcPr>
            <w:tcW w:w="2551" w:type="dxa"/>
            <w:vAlign w:val="center"/>
          </w:tcPr>
          <w:p>
            <w:pPr>
              <w:pStyle w:val="11"/>
            </w:pPr>
            <w:r>
              <w:t>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1.20</w:t>
            </w:r>
          </w:p>
        </w:tc>
        <w:tc>
          <w:tcPr>
            <w:tcW w:w="2551" w:type="dxa"/>
            <w:vAlign w:val="center"/>
          </w:tcPr>
          <w:p>
            <w:pPr>
              <w:pStyle w:val="11"/>
            </w:pPr>
          </w:p>
        </w:tc>
        <w:tc>
          <w:tcPr>
            <w:tcW w:w="2551" w:type="dxa"/>
            <w:vAlign w:val="center"/>
          </w:tcPr>
          <w:p>
            <w:pPr>
              <w:pStyle w:val="11"/>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1.17</w:t>
            </w:r>
          </w:p>
        </w:tc>
        <w:tc>
          <w:tcPr>
            <w:tcW w:w="2551" w:type="dxa"/>
            <w:vAlign w:val="center"/>
          </w:tcPr>
          <w:p>
            <w:pPr>
              <w:pStyle w:val="11"/>
            </w:pPr>
          </w:p>
        </w:tc>
        <w:tc>
          <w:tcPr>
            <w:tcW w:w="2551" w:type="dxa"/>
            <w:vAlign w:val="center"/>
          </w:tcPr>
          <w:p>
            <w:pPr>
              <w:pStyle w:val="11"/>
            </w:pPr>
            <w:r>
              <w:t>1.17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45.76</w:t>
            </w:r>
          </w:p>
        </w:tc>
        <w:tc>
          <w:tcPr>
            <w:tcW w:w="2551" w:type="dxa"/>
            <w:vAlign w:val="center"/>
          </w:tcPr>
          <w:p>
            <w:pPr>
              <w:pStyle w:val="11"/>
            </w:pPr>
            <w:r>
              <w:t>45.76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43.49</w:t>
            </w:r>
          </w:p>
        </w:tc>
        <w:tc>
          <w:tcPr>
            <w:tcW w:w="2551" w:type="dxa"/>
            <w:vAlign w:val="center"/>
          </w:tcPr>
          <w:p>
            <w:pPr>
              <w:pStyle w:val="11"/>
            </w:pPr>
            <w:r>
              <w:t>43.49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2.27</w:t>
            </w:r>
          </w:p>
        </w:tc>
        <w:tc>
          <w:tcPr>
            <w:tcW w:w="2551" w:type="dxa"/>
            <w:vAlign w:val="center"/>
          </w:tcPr>
          <w:p>
            <w:pPr>
              <w:pStyle w:val="11"/>
            </w:pPr>
            <w:r>
              <w:t>2.27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310</w:t>
            </w:r>
          </w:p>
        </w:tc>
        <w:tc>
          <w:tcPr>
            <w:tcW w:w="4535" w:type="dxa"/>
            <w:vAlign w:val="center"/>
          </w:tcPr>
          <w:p>
            <w:pPr>
              <w:pStyle w:val="12"/>
            </w:pPr>
            <w:r>
              <w:t>资本性支出</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31002</w:t>
            </w:r>
          </w:p>
        </w:tc>
        <w:tc>
          <w:tcPr>
            <w:tcW w:w="4535" w:type="dxa"/>
            <w:vAlign w:val="center"/>
          </w:tcPr>
          <w:p>
            <w:pPr>
              <w:pStyle w:val="12"/>
            </w:pPr>
            <w:r>
              <w:t>办公设备购置</w:t>
            </w:r>
          </w:p>
        </w:tc>
        <w:tc>
          <w:tcPr>
            <w:tcW w:w="2551" w:type="dxa"/>
            <w:vAlign w:val="center"/>
          </w:tcPr>
          <w:p>
            <w:pPr>
              <w:pStyle w:val="11"/>
            </w:pPr>
            <w:r>
              <w:t>1.50</w:t>
            </w:r>
          </w:p>
        </w:tc>
        <w:tc>
          <w:tcPr>
            <w:tcW w:w="2551" w:type="dxa"/>
            <w:vAlign w:val="center"/>
          </w:tcPr>
          <w:p>
            <w:pPr>
              <w:pStyle w:val="11"/>
            </w:pPr>
          </w:p>
        </w:tc>
        <w:tc>
          <w:tcPr>
            <w:tcW w:w="2551" w:type="dxa"/>
            <w:vAlign w:val="center"/>
          </w:tcPr>
          <w:p>
            <w:pPr>
              <w:pStyle w:val="11"/>
            </w:pPr>
            <w:r>
              <w:t>1.50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408001唐山市丰南区文化馆本级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唐山市丰南区文化馆本级2025年单位预算信息公开情况说明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按照《中华人民共和国预算法》、《地方预决算公开操作规程》和《关于进一步推进预算公开工作的实施意见》规定，现将唐山市丰南区文化馆本级2025年单位预算公开如下：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(一）公共文化服务</w:t>
      </w:r>
    </w:p>
    <w:p>
      <w:pPr>
        <w:pStyle w:val="17"/>
      </w:pPr>
      <w:r>
        <w:t>1、认真开展各项群众文化活动，在全社会营造良好的文化氛围。力争以“节假日”为重点，突出安排组织活动。做到“周周有演出，月月有安排”，全馆免费对外开放，广泛普及群众文化。全年全区性文化活动达到20场以上。</w:t>
      </w:r>
    </w:p>
    <w:p>
      <w:pPr>
        <w:pStyle w:val="17"/>
      </w:pPr>
      <w:r>
        <w:t>2、突出围绕全区中心工作，精心谋划大型群众文化活动，让更多群众广泛参与，营造全民参与文化氛围。</w:t>
      </w:r>
    </w:p>
    <w:p>
      <w:pPr>
        <w:pStyle w:val="17"/>
      </w:pPr>
      <w:r>
        <w:t>3、持续推进“文化惠民”、“传统文化进乡村、进校园、进机关、进社区、进厂企、进军营”活动。全民文化惠民、进社区、进校园等演出60场次。</w:t>
      </w:r>
    </w:p>
    <w:p>
      <w:pPr>
        <w:pStyle w:val="17"/>
      </w:pPr>
      <w:r>
        <w:t>（二）文化艺术生产</w:t>
      </w:r>
    </w:p>
    <w:p>
      <w:pPr>
        <w:pStyle w:val="17"/>
      </w:pPr>
      <w:r>
        <w:t>1、以“原创+本土+品牌”为准则，打造文艺精品。全年编创优秀文艺作品，力争在省、市获奖3项以上。</w:t>
      </w:r>
    </w:p>
    <w:p>
      <w:pPr>
        <w:pStyle w:val="17"/>
      </w:pPr>
      <w:r>
        <w:t>2、重点编创歌颂党、讴歌党的丰功伟绩，赞颂家乡，反映家乡巨变、时代风貌的各类作品，在全区各地巡回演出。</w:t>
      </w:r>
    </w:p>
    <w:p>
      <w:pPr>
        <w:pStyle w:val="17"/>
      </w:pPr>
      <w:r>
        <w:t>3、全年组织全区性群众原创文艺作品展演，激发各地文艺骨干编创文艺作品积极性。</w:t>
      </w:r>
    </w:p>
    <w:p>
      <w:pPr>
        <w:pStyle w:val="17"/>
      </w:pPr>
      <w:r>
        <w:t>（三）群众文化建设</w:t>
      </w:r>
    </w:p>
    <w:p>
      <w:pPr>
        <w:pStyle w:val="17"/>
      </w:pPr>
      <w:r>
        <w:t>1、与区各文艺协会合作，认真做好群众文化辅导、培训工作，不断提高全区群众文化队伍水平，不断增强群众文化活动队伍数量。积极培育发展音乐、舞蹈、戏剧、曲艺、书画文艺队伍。通过文化馆青年夜校以及请上来、走下去、分区域、分片区辅导等形式，力争使全区文化辅导培训覆盖率达90%以上，让更多的群众队伍演出水平得以提高。同时对文化骨干的培训覆盖率在全区各地达95%以上。</w:t>
      </w:r>
    </w:p>
    <w:p>
      <w:pPr>
        <w:pStyle w:val="17"/>
      </w:pPr>
      <w:r>
        <w:t>2、积极开展“非遗”传承普及活动。对现有“非遗”项目通过“展演、展示”等活动形式得以保护、普及；对未知项目通过实施“非遗村”创建工作，不断挖掘、整理。</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唐山市丰南区文化馆本级</w:t>
            </w:r>
          </w:p>
        </w:tc>
        <w:tc>
          <w:tcPr>
            <w:tcW w:w="1843" w:type="dxa"/>
            <w:vAlign w:val="center"/>
          </w:tcPr>
          <w:p>
            <w:pPr>
              <w:pStyle w:val="13"/>
            </w:pPr>
            <w:r>
              <w:t>事业</w:t>
            </w:r>
          </w:p>
        </w:tc>
        <w:tc>
          <w:tcPr>
            <w:tcW w:w="2126" w:type="dxa"/>
            <w:vAlign w:val="center"/>
          </w:tcPr>
          <w:p>
            <w:pPr>
              <w:pStyle w:val="13"/>
            </w:pPr>
            <w:r>
              <w:t>股级</w:t>
            </w:r>
          </w:p>
        </w:tc>
        <w:tc>
          <w:tcPr>
            <w:tcW w:w="3827" w:type="dxa"/>
            <w:vAlign w:val="center"/>
          </w:tcPr>
          <w:p>
            <w:pPr>
              <w:pStyle w:val="13"/>
            </w:pPr>
            <w:r>
              <w:t>财政性资金基本保证</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516.51万元，其中：一般公共预算收入516.51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唐山市丰南区文化馆本级年度单位预算中支出预算的总体情况。2025年支出预算516.51万元，其中基本支出442.01万元，包括人员经费425.83万元和日常公用经费16.18万元；项目支出74.50万元，主要为群众文化活动经费（免费开放）、劳务派遣人员经费（劳务费）等。</w:t>
      </w:r>
    </w:p>
    <w:p>
      <w:pPr>
        <w:pStyle w:val="18"/>
      </w:pPr>
      <w:r>
        <w:t>3、比上年增减情况</w:t>
      </w:r>
    </w:p>
    <w:p>
      <w:pPr>
        <w:pStyle w:val="18"/>
      </w:pPr>
      <w:r>
        <w:t>2025年预算收支安排516.51万元，较2024年预算增加24.66万元，其中：基本支出增加26.66万元，主要为人员经费增加，日常公用经费增加</w:t>
      </w:r>
      <w:r>
        <w:rPr>
          <w:rFonts w:hint="eastAsia"/>
          <w:lang w:eastAsia="zh-CN"/>
        </w:rPr>
        <w:t>；</w:t>
      </w:r>
      <w:r>
        <w:t>项目支出减少2.00万元，主要为群众文化活动中心运行经费</w:t>
      </w:r>
      <w:bookmarkStart w:id="1" w:name="_GoBack"/>
      <w:bookmarkEnd w:id="1"/>
      <w:r>
        <w:t>。</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pPr>
      <w:r>
        <w:t>2025年，我单位机关运行经费共计安排16.18万元，主要用于日常维修、办公用房水电费、办公用房取暖费、办公用房物业管理费等日常运行支出。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增加0.00万元，增减变化的主要原因是没有增减变化。</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1、劳务派遣人员经费（劳务费）绩效目标表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13020725P00002210254L</w:t>
            </w:r>
          </w:p>
        </w:tc>
        <w:tc>
          <w:tcPr>
            <w:tcW w:w="2835" w:type="dxa"/>
            <w:vAlign w:val="center"/>
          </w:tcPr>
          <w:p>
            <w:pPr>
              <w:pStyle w:val="10"/>
            </w:pPr>
            <w:r>
              <w:t>项目名称</w:t>
            </w:r>
          </w:p>
        </w:tc>
        <w:tc>
          <w:tcPr>
            <w:tcW w:w="6095" w:type="dxa"/>
            <w:gridSpan w:val="3"/>
            <w:vAlign w:val="center"/>
          </w:tcPr>
          <w:p>
            <w:pPr>
              <w:pStyle w:val="12"/>
            </w:pPr>
            <w:r>
              <w:t>劳务派遣人员经费（劳务费）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19.50</w:t>
            </w:r>
          </w:p>
        </w:tc>
        <w:tc>
          <w:tcPr>
            <w:tcW w:w="2835" w:type="dxa"/>
            <w:vAlign w:val="center"/>
          </w:tcPr>
          <w:p>
            <w:pPr>
              <w:pStyle w:val="10"/>
            </w:pPr>
            <w:r>
              <w:t>其中：财政    资金</w:t>
            </w:r>
          </w:p>
        </w:tc>
        <w:tc>
          <w:tcPr>
            <w:tcW w:w="2551" w:type="dxa"/>
            <w:vAlign w:val="center"/>
          </w:tcPr>
          <w:p>
            <w:pPr>
              <w:pStyle w:val="12"/>
            </w:pPr>
            <w:r>
              <w:t>19.50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丰南区文化馆为促进文化事业发展，弥补事业单位人员不足，安排劳务派遣人员共4名分赴在各个岗位，涉及工资及保险19.5万元。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1.及时发放劳务派遣人员工资，保障机关正常运转。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劳务派遣人数</w:t>
            </w:r>
          </w:p>
        </w:tc>
        <w:tc>
          <w:tcPr>
            <w:tcW w:w="5386" w:type="dxa"/>
            <w:vAlign w:val="center"/>
          </w:tcPr>
          <w:p>
            <w:pPr>
              <w:pStyle w:val="12"/>
            </w:pPr>
            <w:r>
              <w:t>反映签订劳务派遣合同人数情况</w:t>
            </w:r>
          </w:p>
        </w:tc>
        <w:tc>
          <w:tcPr>
            <w:tcW w:w="2268" w:type="dxa"/>
            <w:vAlign w:val="center"/>
          </w:tcPr>
          <w:p>
            <w:pPr>
              <w:pStyle w:val="12"/>
            </w:pPr>
            <w:r>
              <w:t>4人</w:t>
            </w:r>
          </w:p>
        </w:tc>
        <w:tc>
          <w:tcPr>
            <w:tcW w:w="1276" w:type="dxa"/>
            <w:vAlign w:val="center"/>
          </w:tcPr>
          <w:p>
            <w:pPr>
              <w:pStyle w:val="12"/>
            </w:pPr>
            <w:r>
              <w:t>合同、上年末人数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工资发放覆盖率</w:t>
            </w:r>
          </w:p>
        </w:tc>
        <w:tc>
          <w:tcPr>
            <w:tcW w:w="5386" w:type="dxa"/>
            <w:vAlign w:val="center"/>
          </w:tcPr>
          <w:p>
            <w:pPr>
              <w:pStyle w:val="12"/>
            </w:pPr>
            <w:r>
              <w:t>反映实际发放工资的覆盖程度情况，覆盖率=实发人数/应发人数</w:t>
            </w:r>
          </w:p>
        </w:tc>
        <w:tc>
          <w:tcPr>
            <w:tcW w:w="2268" w:type="dxa"/>
            <w:vAlign w:val="center"/>
          </w:tcPr>
          <w:p>
            <w:pPr>
              <w:pStyle w:val="12"/>
            </w:pPr>
            <w:r>
              <w:t>100%</w:t>
            </w:r>
          </w:p>
        </w:tc>
        <w:tc>
          <w:tcPr>
            <w:tcW w:w="1276" w:type="dxa"/>
            <w:vAlign w:val="center"/>
          </w:tcPr>
          <w:p>
            <w:pPr>
              <w:pStyle w:val="12"/>
            </w:pPr>
            <w:r>
              <w:t>机关事业单位劳务派遣人员管理办法、合同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工资发放及时性</w:t>
            </w:r>
          </w:p>
        </w:tc>
        <w:tc>
          <w:tcPr>
            <w:tcW w:w="5386" w:type="dxa"/>
            <w:vAlign w:val="center"/>
          </w:tcPr>
          <w:p>
            <w:pPr>
              <w:pStyle w:val="12"/>
            </w:pPr>
            <w:r>
              <w:t>反映按时足额发放工资的情况</w:t>
            </w:r>
          </w:p>
        </w:tc>
        <w:tc>
          <w:tcPr>
            <w:tcW w:w="2268" w:type="dxa"/>
            <w:vAlign w:val="center"/>
          </w:tcPr>
          <w:p>
            <w:pPr>
              <w:pStyle w:val="12"/>
            </w:pPr>
            <w:r>
              <w:t>及时足额发放</w:t>
            </w:r>
          </w:p>
        </w:tc>
        <w:tc>
          <w:tcPr>
            <w:tcW w:w="1276" w:type="dxa"/>
            <w:vAlign w:val="center"/>
          </w:tcPr>
          <w:p>
            <w:pPr>
              <w:pStyle w:val="12"/>
            </w:pPr>
            <w:r>
              <w:t>历史标准、合同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工资标准</w:t>
            </w:r>
          </w:p>
        </w:tc>
        <w:tc>
          <w:tcPr>
            <w:tcW w:w="5386" w:type="dxa"/>
            <w:vAlign w:val="center"/>
          </w:tcPr>
          <w:p>
            <w:pPr>
              <w:pStyle w:val="12"/>
            </w:pPr>
            <w:r>
              <w:t>反映人均月工资标准情况</w:t>
            </w:r>
          </w:p>
        </w:tc>
        <w:tc>
          <w:tcPr>
            <w:tcW w:w="2268" w:type="dxa"/>
            <w:vAlign w:val="center"/>
          </w:tcPr>
          <w:p>
            <w:pPr>
              <w:pStyle w:val="12"/>
            </w:pPr>
            <w:r>
              <w:t>≥2200元/月，人</w:t>
            </w:r>
          </w:p>
        </w:tc>
        <w:tc>
          <w:tcPr>
            <w:tcW w:w="1276" w:type="dxa"/>
            <w:vAlign w:val="center"/>
          </w:tcPr>
          <w:p>
            <w:pPr>
              <w:pStyle w:val="12"/>
            </w:pPr>
            <w:r>
              <w:t>《关于调整最低工资标准的通知》、《劳务派遣人员管理办法》等政策文件规定、合同等</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服务群众质量</w:t>
            </w:r>
          </w:p>
        </w:tc>
        <w:tc>
          <w:tcPr>
            <w:tcW w:w="5386" w:type="dxa"/>
            <w:vAlign w:val="center"/>
          </w:tcPr>
          <w:p>
            <w:pPr>
              <w:pStyle w:val="12"/>
            </w:pPr>
            <w:r>
              <w:t>反映服务群众质量情况</w:t>
            </w:r>
          </w:p>
        </w:tc>
        <w:tc>
          <w:tcPr>
            <w:tcW w:w="2268" w:type="dxa"/>
            <w:vAlign w:val="center"/>
          </w:tcPr>
          <w:p>
            <w:pPr>
              <w:pStyle w:val="12"/>
            </w:pPr>
            <w:r>
              <w:t>有所提高</w:t>
            </w:r>
          </w:p>
        </w:tc>
        <w:tc>
          <w:tcPr>
            <w:tcW w:w="1276" w:type="dxa"/>
            <w:vAlign w:val="center"/>
          </w:tcPr>
          <w:p>
            <w:pPr>
              <w:pStyle w:val="12"/>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聘用人员稳定程度</w:t>
            </w:r>
          </w:p>
        </w:tc>
        <w:tc>
          <w:tcPr>
            <w:tcW w:w="5386" w:type="dxa"/>
            <w:vAlign w:val="center"/>
          </w:tcPr>
          <w:p>
            <w:pPr>
              <w:pStyle w:val="12"/>
            </w:pPr>
            <w:r>
              <w:t>反映聘用人员稳定程度</w:t>
            </w:r>
          </w:p>
        </w:tc>
        <w:tc>
          <w:tcPr>
            <w:tcW w:w="2268" w:type="dxa"/>
            <w:vAlign w:val="center"/>
          </w:tcPr>
          <w:p>
            <w:pPr>
              <w:pStyle w:val="12"/>
            </w:pPr>
            <w:r>
              <w:t>保持稳定</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服务对象人群满意度</w:t>
            </w:r>
          </w:p>
        </w:tc>
        <w:tc>
          <w:tcPr>
            <w:tcW w:w="5386" w:type="dxa"/>
            <w:vAlign w:val="center"/>
          </w:tcPr>
          <w:p>
            <w:pPr>
              <w:pStyle w:val="12"/>
            </w:pPr>
            <w:r>
              <w:t>反映群众对工作人员服务满意程度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2、群众文化活动经费（免费开放）绩效目标表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13020725P0057G910016R</w:t>
            </w:r>
          </w:p>
        </w:tc>
        <w:tc>
          <w:tcPr>
            <w:tcW w:w="2835" w:type="dxa"/>
            <w:vAlign w:val="center"/>
          </w:tcPr>
          <w:p>
            <w:pPr>
              <w:pStyle w:val="10"/>
            </w:pPr>
            <w:r>
              <w:t>项目名称</w:t>
            </w:r>
          </w:p>
        </w:tc>
        <w:tc>
          <w:tcPr>
            <w:tcW w:w="6095" w:type="dxa"/>
            <w:gridSpan w:val="3"/>
            <w:vAlign w:val="center"/>
          </w:tcPr>
          <w:p>
            <w:pPr>
              <w:pStyle w:val="12"/>
            </w:pPr>
            <w:r>
              <w:t>群众文化活动经费（免费开放）</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根据国家一级馆达标要求及国家级公共文化服务体系示范区建设要求，和一级馆建设标准要求组织大型群众性活动不少于6次，组织各类展览、演出、研讨等小型活动不低于10场次，积极组织开展各类健康向上的文化活动，免费开放，营造良好的社会文化氛围。2025年申请群众文化活动经费（免费开放）资金10万元，用于支出活动涉及的劳务支出、宣传展牌、会标制作、舞台设备租赁、展览画册印刷、展览作品装裱、活动视频制作等。</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w:t>
            </w:r>
          </w:p>
        </w:tc>
        <w:tc>
          <w:tcPr>
            <w:tcW w:w="2835" w:type="dxa"/>
            <w:vAlign w:val="center"/>
          </w:tcPr>
          <w:p>
            <w:pPr>
              <w:pStyle w:val="13"/>
            </w:pPr>
            <w:r>
              <w:t>40%</w:t>
            </w:r>
          </w:p>
        </w:tc>
        <w:tc>
          <w:tcPr>
            <w:tcW w:w="2551" w:type="dxa"/>
            <w:vAlign w:val="center"/>
          </w:tcPr>
          <w:p>
            <w:pPr>
              <w:pStyle w:val="13"/>
            </w:pPr>
            <w:r>
              <w:t>90%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1.组织各类展览、演出、研讨等小型活动不低于20场次，丰富和活跃广大群众文化生活，普及科学文化知识，指导社会文化活动的普及与提高，开展社会宣教。</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开展活动次数</w:t>
            </w:r>
          </w:p>
        </w:tc>
        <w:tc>
          <w:tcPr>
            <w:tcW w:w="5386" w:type="dxa"/>
            <w:vAlign w:val="center"/>
          </w:tcPr>
          <w:p>
            <w:pPr>
              <w:pStyle w:val="12"/>
            </w:pPr>
            <w:r>
              <w:t>全年开展活动的次数</w:t>
            </w:r>
          </w:p>
        </w:tc>
        <w:tc>
          <w:tcPr>
            <w:tcW w:w="2268" w:type="dxa"/>
            <w:vAlign w:val="center"/>
          </w:tcPr>
          <w:p>
            <w:pPr>
              <w:pStyle w:val="12"/>
            </w:pPr>
            <w:r>
              <w:t>≥20次</w:t>
            </w:r>
          </w:p>
        </w:tc>
        <w:tc>
          <w:tcPr>
            <w:tcW w:w="1276" w:type="dxa"/>
            <w:vAlign w:val="center"/>
          </w:tcPr>
          <w:p>
            <w:pPr>
              <w:pStyle w:val="12"/>
            </w:pPr>
            <w:r>
              <w:t>工作计划</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活动目标达成率</w:t>
            </w:r>
          </w:p>
        </w:tc>
        <w:tc>
          <w:tcPr>
            <w:tcW w:w="5386" w:type="dxa"/>
            <w:vAlign w:val="center"/>
          </w:tcPr>
          <w:p>
            <w:pPr>
              <w:pStyle w:val="12"/>
            </w:pPr>
            <w:r>
              <w:t>实际完成的活动目标与预先设定的目标的比例</w:t>
            </w:r>
          </w:p>
        </w:tc>
        <w:tc>
          <w:tcPr>
            <w:tcW w:w="2268" w:type="dxa"/>
            <w:vAlign w:val="center"/>
          </w:tcPr>
          <w:p>
            <w:pPr>
              <w:pStyle w:val="12"/>
            </w:pPr>
            <w:r>
              <w:t>100%</w:t>
            </w:r>
          </w:p>
        </w:tc>
        <w:tc>
          <w:tcPr>
            <w:tcW w:w="1276" w:type="dxa"/>
            <w:vAlign w:val="center"/>
          </w:tcPr>
          <w:p>
            <w:pPr>
              <w:pStyle w:val="12"/>
            </w:pPr>
            <w:r>
              <w:t>活动预（方）案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活动完成时间</w:t>
            </w:r>
          </w:p>
        </w:tc>
        <w:tc>
          <w:tcPr>
            <w:tcW w:w="5386" w:type="dxa"/>
            <w:vAlign w:val="center"/>
          </w:tcPr>
          <w:p>
            <w:pPr>
              <w:pStyle w:val="12"/>
            </w:pPr>
            <w:r>
              <w:t>反映活动完成的及时程度和效率情况</w:t>
            </w:r>
          </w:p>
        </w:tc>
        <w:tc>
          <w:tcPr>
            <w:tcW w:w="2268" w:type="dxa"/>
            <w:vAlign w:val="center"/>
          </w:tcPr>
          <w:p>
            <w:pPr>
              <w:pStyle w:val="12"/>
            </w:pPr>
            <w:r>
              <w:t>≤2个工作日内</w:t>
            </w:r>
          </w:p>
        </w:tc>
        <w:tc>
          <w:tcPr>
            <w:tcW w:w="1276" w:type="dxa"/>
            <w:vAlign w:val="center"/>
          </w:tcPr>
          <w:p>
            <w:pPr>
              <w:pStyle w:val="12"/>
            </w:pPr>
            <w:r>
              <w:t>活动预（方）案、合同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活动总成本</w:t>
            </w:r>
          </w:p>
        </w:tc>
        <w:tc>
          <w:tcPr>
            <w:tcW w:w="5386" w:type="dxa"/>
            <w:vAlign w:val="center"/>
          </w:tcPr>
          <w:p>
            <w:pPr>
              <w:pStyle w:val="12"/>
            </w:pPr>
            <w:r>
              <w:t>反映活动总成本控制情况</w:t>
            </w:r>
          </w:p>
        </w:tc>
        <w:tc>
          <w:tcPr>
            <w:tcW w:w="2268" w:type="dxa"/>
            <w:vAlign w:val="center"/>
          </w:tcPr>
          <w:p>
            <w:pPr>
              <w:pStyle w:val="12"/>
            </w:pPr>
            <w:r>
              <w:t>≤10万元</w:t>
            </w:r>
          </w:p>
        </w:tc>
        <w:tc>
          <w:tcPr>
            <w:tcW w:w="1276" w:type="dxa"/>
            <w:vAlign w:val="center"/>
          </w:tcPr>
          <w:p>
            <w:pPr>
              <w:pStyle w:val="12"/>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对社会关系的促进</w:t>
            </w:r>
          </w:p>
        </w:tc>
        <w:tc>
          <w:tcPr>
            <w:tcW w:w="5386" w:type="dxa"/>
            <w:vAlign w:val="center"/>
          </w:tcPr>
          <w:p>
            <w:pPr>
              <w:pStyle w:val="12"/>
            </w:pPr>
            <w:r>
              <w:t>加强凝聚力，增进友爱团结，激发爱党爱国情怀，鼓足干劲，建设家乡。</w:t>
            </w:r>
          </w:p>
        </w:tc>
        <w:tc>
          <w:tcPr>
            <w:tcW w:w="2268" w:type="dxa"/>
            <w:vAlign w:val="center"/>
          </w:tcPr>
          <w:p>
            <w:pPr>
              <w:pStyle w:val="12"/>
            </w:pPr>
            <w:r>
              <w:t>效果显著</w:t>
            </w:r>
          </w:p>
        </w:tc>
        <w:tc>
          <w:tcPr>
            <w:tcW w:w="1276" w:type="dxa"/>
            <w:vAlign w:val="center"/>
          </w:tcPr>
          <w:p>
            <w:pPr>
              <w:pStyle w:val="12"/>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反映群众对举办活动成果的满意程度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3、群众文化活动中心运行经费绩效目标表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13020725P008DXN10028T</w:t>
            </w:r>
          </w:p>
        </w:tc>
        <w:tc>
          <w:tcPr>
            <w:tcW w:w="2835" w:type="dxa"/>
            <w:vAlign w:val="center"/>
          </w:tcPr>
          <w:p>
            <w:pPr>
              <w:pStyle w:val="10"/>
            </w:pPr>
            <w:r>
              <w:t>项目名称</w:t>
            </w:r>
          </w:p>
        </w:tc>
        <w:tc>
          <w:tcPr>
            <w:tcW w:w="6095" w:type="dxa"/>
            <w:gridSpan w:val="3"/>
            <w:vAlign w:val="center"/>
          </w:tcPr>
          <w:p>
            <w:pPr>
              <w:pStyle w:val="12"/>
            </w:pPr>
            <w:r>
              <w:t>群众文化活动中心运行经费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12.86</w:t>
            </w:r>
          </w:p>
        </w:tc>
        <w:tc>
          <w:tcPr>
            <w:tcW w:w="2835" w:type="dxa"/>
            <w:vAlign w:val="center"/>
          </w:tcPr>
          <w:p>
            <w:pPr>
              <w:pStyle w:val="10"/>
            </w:pPr>
            <w:r>
              <w:t>其中：财政    资金</w:t>
            </w:r>
          </w:p>
        </w:tc>
        <w:tc>
          <w:tcPr>
            <w:tcW w:w="2551" w:type="dxa"/>
            <w:vAlign w:val="center"/>
          </w:tcPr>
          <w:p>
            <w:pPr>
              <w:pStyle w:val="12"/>
            </w:pPr>
            <w:r>
              <w:t>12.86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群众文化活动中心2025年积极组织各项文体活动。为了确保群众文化建设的正常运行，我们所需要相关支出费用，包括办公取暖费用、维修费用。2025年申请群众文化活动中心运行经费资金12.86万元，用于支出办公取暖费12.36万元、维修费用0.5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100%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1.本着服务群众、欢乐群众、幸福群众为宗旨，确保设施设备正常。同时组织开展基层群众文化活动，真正把文化馆（分馆）服务为民的作用发挥到最大，为广大群众提供优质、便捷、均等的文化活动。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房屋建筑物供暖面积</w:t>
            </w:r>
          </w:p>
        </w:tc>
        <w:tc>
          <w:tcPr>
            <w:tcW w:w="5386" w:type="dxa"/>
            <w:vAlign w:val="center"/>
          </w:tcPr>
          <w:p>
            <w:pPr>
              <w:pStyle w:val="12"/>
            </w:pPr>
            <w:r>
              <w:t>反映单位供暖面积数量情况</w:t>
            </w:r>
          </w:p>
        </w:tc>
        <w:tc>
          <w:tcPr>
            <w:tcW w:w="2268" w:type="dxa"/>
            <w:vAlign w:val="center"/>
          </w:tcPr>
          <w:p>
            <w:pPr>
              <w:pStyle w:val="12"/>
            </w:pPr>
            <w:r>
              <w:t>3600平方米</w:t>
            </w:r>
          </w:p>
        </w:tc>
        <w:tc>
          <w:tcPr>
            <w:tcW w:w="1276" w:type="dxa"/>
            <w:vAlign w:val="center"/>
          </w:tcPr>
          <w:p>
            <w:pPr>
              <w:pStyle w:val="12"/>
            </w:pPr>
            <w:r>
              <w:t>单位实有办公面积</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修缮、维护设施设备的数量</w:t>
            </w:r>
          </w:p>
        </w:tc>
        <w:tc>
          <w:tcPr>
            <w:tcW w:w="5386" w:type="dxa"/>
            <w:vAlign w:val="center"/>
          </w:tcPr>
          <w:p>
            <w:pPr>
              <w:pStyle w:val="12"/>
            </w:pPr>
            <w:r>
              <w:t>修缮、维护设施设备完成的数量</w:t>
            </w:r>
          </w:p>
        </w:tc>
        <w:tc>
          <w:tcPr>
            <w:tcW w:w="2268" w:type="dxa"/>
            <w:vAlign w:val="center"/>
          </w:tcPr>
          <w:p>
            <w:pPr>
              <w:pStyle w:val="12"/>
            </w:pPr>
            <w:r>
              <w:t>以实际发生情况为准</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保障工作正常开展</w:t>
            </w:r>
          </w:p>
        </w:tc>
        <w:tc>
          <w:tcPr>
            <w:tcW w:w="5386" w:type="dxa"/>
            <w:vAlign w:val="center"/>
          </w:tcPr>
          <w:p>
            <w:pPr>
              <w:pStyle w:val="12"/>
            </w:pPr>
            <w:r>
              <w:t>反映办公取暖正常，办公设施设备维修完好能正常开展活动。</w:t>
            </w:r>
          </w:p>
        </w:tc>
        <w:tc>
          <w:tcPr>
            <w:tcW w:w="2268" w:type="dxa"/>
            <w:vAlign w:val="center"/>
          </w:tcPr>
          <w:p>
            <w:pPr>
              <w:pStyle w:val="12"/>
            </w:pPr>
            <w:r>
              <w:t>有效保障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运转经费及时保障</w:t>
            </w:r>
          </w:p>
        </w:tc>
        <w:tc>
          <w:tcPr>
            <w:tcW w:w="5386" w:type="dxa"/>
            <w:vAlign w:val="center"/>
          </w:tcPr>
          <w:p>
            <w:pPr>
              <w:pStyle w:val="12"/>
            </w:pPr>
            <w:r>
              <w:t>办公取暖、办公设施设备维修在规定时间内支付到位情况</w:t>
            </w:r>
          </w:p>
        </w:tc>
        <w:tc>
          <w:tcPr>
            <w:tcW w:w="2268" w:type="dxa"/>
            <w:vAlign w:val="center"/>
          </w:tcPr>
          <w:p>
            <w:pPr>
              <w:pStyle w:val="12"/>
            </w:pPr>
            <w:r>
              <w:t>及时保障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群众文化活动中心运转经费</w:t>
            </w:r>
          </w:p>
        </w:tc>
        <w:tc>
          <w:tcPr>
            <w:tcW w:w="5386" w:type="dxa"/>
            <w:vAlign w:val="center"/>
          </w:tcPr>
          <w:p>
            <w:pPr>
              <w:pStyle w:val="12"/>
            </w:pPr>
            <w:r>
              <w:t>反映群众文化活动中心运转经费情况</w:t>
            </w:r>
          </w:p>
        </w:tc>
        <w:tc>
          <w:tcPr>
            <w:tcW w:w="2268" w:type="dxa"/>
            <w:vAlign w:val="center"/>
          </w:tcPr>
          <w:p>
            <w:pPr>
              <w:pStyle w:val="12"/>
            </w:pPr>
            <w:r>
              <w:t>≤12.86万元</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保障群众文化活动中心正常运转</w:t>
            </w:r>
          </w:p>
        </w:tc>
        <w:tc>
          <w:tcPr>
            <w:tcW w:w="5386" w:type="dxa"/>
            <w:vAlign w:val="center"/>
          </w:tcPr>
          <w:p>
            <w:pPr>
              <w:pStyle w:val="12"/>
            </w:pPr>
            <w:r>
              <w:t>反映保障群众文化活动中心正常运转情况</w:t>
            </w:r>
          </w:p>
        </w:tc>
        <w:tc>
          <w:tcPr>
            <w:tcW w:w="2268" w:type="dxa"/>
            <w:vAlign w:val="center"/>
          </w:tcPr>
          <w:p>
            <w:pPr>
              <w:pStyle w:val="12"/>
            </w:pPr>
            <w:r>
              <w:t>有效保障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反映群众满意程度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4、提前下达2025年公共图书馆美术馆文化馆（站）免费开放补助资金（唐财教[2024]86号）绩效目标表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13020725P0057G9100227</w:t>
            </w:r>
          </w:p>
        </w:tc>
        <w:tc>
          <w:tcPr>
            <w:tcW w:w="2835" w:type="dxa"/>
            <w:vAlign w:val="center"/>
          </w:tcPr>
          <w:p>
            <w:pPr>
              <w:pStyle w:val="10"/>
            </w:pPr>
            <w:r>
              <w:t>项目名称</w:t>
            </w:r>
          </w:p>
        </w:tc>
        <w:tc>
          <w:tcPr>
            <w:tcW w:w="6095" w:type="dxa"/>
            <w:gridSpan w:val="3"/>
            <w:vAlign w:val="center"/>
          </w:tcPr>
          <w:p>
            <w:pPr>
              <w:pStyle w:val="12"/>
            </w:pPr>
            <w:r>
              <w:t>提前下达2025年公共图书馆美术馆文化馆（站）免费开放补助资金（唐财教[2024]86号）</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10.80</w:t>
            </w:r>
          </w:p>
        </w:tc>
        <w:tc>
          <w:tcPr>
            <w:tcW w:w="2835" w:type="dxa"/>
            <w:vAlign w:val="center"/>
          </w:tcPr>
          <w:p>
            <w:pPr>
              <w:pStyle w:val="10"/>
            </w:pPr>
            <w:r>
              <w:t>其中：财政    资金</w:t>
            </w:r>
          </w:p>
        </w:tc>
        <w:tc>
          <w:tcPr>
            <w:tcW w:w="2551" w:type="dxa"/>
            <w:vAlign w:val="center"/>
          </w:tcPr>
          <w:p>
            <w:pPr>
              <w:pStyle w:val="12"/>
            </w:pPr>
            <w:r>
              <w:t>10.80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根据《河北省财政厅关于提前下达2025年公共图书馆、美术馆、文化馆（站）免费开放补助资金预算的通知》（唐财教[2024]86号）文件，大力实施文化馆艺术展厅、书画室、乐学园、艺术沙龙、剧院大小剧场免费对外开放服务，同时举办公益性群众活动。资金主要用于印刷费2.5万元、维修（护）费3万元、租赁费0.5万元、专用材料费3万元、劳务费1.5万元、委托业务费0.3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w:t>
            </w:r>
          </w:p>
        </w:tc>
        <w:tc>
          <w:tcPr>
            <w:tcW w:w="2835" w:type="dxa"/>
            <w:vAlign w:val="center"/>
          </w:tcPr>
          <w:p>
            <w:pPr>
              <w:pStyle w:val="13"/>
            </w:pPr>
            <w:r>
              <w:t>60%</w:t>
            </w:r>
          </w:p>
        </w:tc>
        <w:tc>
          <w:tcPr>
            <w:tcW w:w="2551" w:type="dxa"/>
            <w:vAlign w:val="center"/>
          </w:tcPr>
          <w:p>
            <w:pPr>
              <w:pStyle w:val="13"/>
            </w:pPr>
            <w:r>
              <w:t>90%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1.组织各类培训、辅导、研讨等小型活动不低于20场次；搞好宣传展示10次，丰富和活跃群众文化生活，满足各类人群文化需求。</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群众参与免费开放文化活动的人次</w:t>
            </w:r>
          </w:p>
        </w:tc>
        <w:tc>
          <w:tcPr>
            <w:tcW w:w="5386" w:type="dxa"/>
            <w:vAlign w:val="center"/>
          </w:tcPr>
          <w:p>
            <w:pPr>
              <w:pStyle w:val="12"/>
            </w:pPr>
            <w:r>
              <w:t>通过有效宣传推广和策划，吸引更多群众参与到馆内举办的各项活动，提升影响力和文化获得感。</w:t>
            </w:r>
          </w:p>
        </w:tc>
        <w:tc>
          <w:tcPr>
            <w:tcW w:w="2268" w:type="dxa"/>
            <w:vAlign w:val="center"/>
          </w:tcPr>
          <w:p>
            <w:pPr>
              <w:pStyle w:val="12"/>
            </w:pPr>
            <w:r>
              <w:t>≥5000人</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举办免费开放活动次数</w:t>
            </w:r>
          </w:p>
        </w:tc>
        <w:tc>
          <w:tcPr>
            <w:tcW w:w="5386" w:type="dxa"/>
            <w:vAlign w:val="center"/>
          </w:tcPr>
          <w:p>
            <w:pPr>
              <w:pStyle w:val="12"/>
            </w:pPr>
            <w:r>
              <w:t>包括但不限于文艺演出、展览展示、讲座、艺术培训等各类活动，以丰富多样的形式满足不同群众的需求，确保阵地充分利用和活动的广泛覆盖。</w:t>
            </w:r>
          </w:p>
        </w:tc>
        <w:tc>
          <w:tcPr>
            <w:tcW w:w="2268" w:type="dxa"/>
            <w:vAlign w:val="center"/>
          </w:tcPr>
          <w:p>
            <w:pPr>
              <w:pStyle w:val="12"/>
            </w:pPr>
            <w:r>
              <w:t>≥30场</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举办文化活动较上年增长率</w:t>
            </w:r>
          </w:p>
        </w:tc>
        <w:tc>
          <w:tcPr>
            <w:tcW w:w="5386" w:type="dxa"/>
            <w:vAlign w:val="center"/>
          </w:tcPr>
          <w:p>
            <w:pPr>
              <w:pStyle w:val="12"/>
            </w:pPr>
            <w:r>
              <w:t>深入挖掘资源，创新活动形式，拓展合作渠道，确保质量的前提下，提升文化馆文化服务效率，推动文化事业发展。</w:t>
            </w:r>
          </w:p>
        </w:tc>
        <w:tc>
          <w:tcPr>
            <w:tcW w:w="2268" w:type="dxa"/>
            <w:vAlign w:val="center"/>
          </w:tcPr>
          <w:p>
            <w:pPr>
              <w:pStyle w:val="12"/>
            </w:pPr>
            <w:r>
              <w:t>≥5%</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免费开放时间达标率</w:t>
            </w:r>
          </w:p>
        </w:tc>
        <w:tc>
          <w:tcPr>
            <w:tcW w:w="5386" w:type="dxa"/>
            <w:vAlign w:val="center"/>
          </w:tcPr>
          <w:p>
            <w:pPr>
              <w:pStyle w:val="12"/>
            </w:pPr>
            <w:r>
              <w:t>确保免费开放时间2880小时/年以上，每天开放至少8小时，依据情况延长时间，节假日开放并延长，充分体现公共文化服务职能。</w:t>
            </w:r>
          </w:p>
        </w:tc>
        <w:tc>
          <w:tcPr>
            <w:tcW w:w="2268" w:type="dxa"/>
            <w:vAlign w:val="center"/>
          </w:tcPr>
          <w:p>
            <w:pPr>
              <w:pStyle w:val="12"/>
            </w:pPr>
            <w:r>
              <w:t>全年免费开放时间达到2880小时以内</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活动总成本控制，并把每一场活动成本降低。</w:t>
            </w:r>
          </w:p>
        </w:tc>
        <w:tc>
          <w:tcPr>
            <w:tcW w:w="5386" w:type="dxa"/>
            <w:vAlign w:val="center"/>
          </w:tcPr>
          <w:p>
            <w:pPr>
              <w:pStyle w:val="12"/>
            </w:pPr>
            <w:r>
              <w:t>年度免费开放成本经费支出控制在10.8万元以内，优化配置，严格控制，提高资金使用效率。</w:t>
            </w:r>
          </w:p>
        </w:tc>
        <w:tc>
          <w:tcPr>
            <w:tcW w:w="2268" w:type="dxa"/>
            <w:vAlign w:val="center"/>
          </w:tcPr>
          <w:p>
            <w:pPr>
              <w:pStyle w:val="12"/>
            </w:pPr>
            <w:r>
              <w:t>降低</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活动费用的发挥率，带动相关消费项目增收情况</w:t>
            </w:r>
          </w:p>
        </w:tc>
        <w:tc>
          <w:tcPr>
            <w:tcW w:w="5386" w:type="dxa"/>
            <w:vAlign w:val="center"/>
          </w:tcPr>
          <w:p>
            <w:pPr>
              <w:pStyle w:val="12"/>
            </w:pPr>
            <w:r>
              <w:t>凭活动吸引人流，进而带动周边消费。促进文旅融合，发挥文化作用。</w:t>
            </w:r>
          </w:p>
        </w:tc>
        <w:tc>
          <w:tcPr>
            <w:tcW w:w="2268" w:type="dxa"/>
            <w:vAlign w:val="center"/>
          </w:tcPr>
          <w:p>
            <w:pPr>
              <w:pStyle w:val="12"/>
            </w:pPr>
            <w:r>
              <w:t>吸引群众观看活动达70万人次</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免费开放服务水平稳步提升</w:t>
            </w:r>
          </w:p>
        </w:tc>
        <w:tc>
          <w:tcPr>
            <w:tcW w:w="5386" w:type="dxa"/>
            <w:vAlign w:val="center"/>
          </w:tcPr>
          <w:p>
            <w:pPr>
              <w:pStyle w:val="12"/>
            </w:pPr>
            <w:r>
              <w:t>群众对文化馆活动情况知晓率较上年增长，且更多人参与文化活动；全区文化氛围活跃度增强。</w:t>
            </w:r>
          </w:p>
        </w:tc>
        <w:tc>
          <w:tcPr>
            <w:tcW w:w="2268" w:type="dxa"/>
            <w:vAlign w:val="center"/>
          </w:tcPr>
          <w:p>
            <w:pPr>
              <w:pStyle w:val="12"/>
            </w:pPr>
            <w:r>
              <w:t>长期</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文化场（馆）正常运行，保障文化事业蓬勃发展</w:t>
            </w:r>
          </w:p>
        </w:tc>
        <w:tc>
          <w:tcPr>
            <w:tcW w:w="5386" w:type="dxa"/>
            <w:vAlign w:val="center"/>
          </w:tcPr>
          <w:p>
            <w:pPr>
              <w:pStyle w:val="12"/>
            </w:pPr>
            <w:r>
              <w:t>通过定期维护设施设备，修复破损，优化配置，确保设施设备正常运行，提升服务水平。</w:t>
            </w:r>
          </w:p>
        </w:tc>
        <w:tc>
          <w:tcPr>
            <w:tcW w:w="2268" w:type="dxa"/>
            <w:vAlign w:val="center"/>
          </w:tcPr>
          <w:p>
            <w:pPr>
              <w:pStyle w:val="12"/>
            </w:pPr>
            <w:r>
              <w:t>≥95%</w:t>
            </w:r>
          </w:p>
        </w:tc>
        <w:tc>
          <w:tcPr>
            <w:tcW w:w="1276" w:type="dxa"/>
            <w:vAlign w:val="center"/>
          </w:tcPr>
          <w:p>
            <w:pPr>
              <w:pStyle w:val="12"/>
            </w:pPr>
            <w:r>
              <w:t>国家一级馆要求及唐山市财政局关于提前下达2025年公共图书馆、美术馆、文化馆（站）免费开放补助资金的通知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受益群众对免费开放的满意程度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5、提前下达2025年省级公共图书馆美术馆文化馆（站）免费开放补助资金（唐财教[2024]87号）绩效目标表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13020725P0057G910024E</w:t>
            </w:r>
          </w:p>
        </w:tc>
        <w:tc>
          <w:tcPr>
            <w:tcW w:w="2835" w:type="dxa"/>
            <w:vAlign w:val="center"/>
          </w:tcPr>
          <w:p>
            <w:pPr>
              <w:pStyle w:val="10"/>
            </w:pPr>
            <w:r>
              <w:t>项目名称</w:t>
            </w:r>
          </w:p>
        </w:tc>
        <w:tc>
          <w:tcPr>
            <w:tcW w:w="6095" w:type="dxa"/>
            <w:gridSpan w:val="3"/>
            <w:vAlign w:val="center"/>
          </w:tcPr>
          <w:p>
            <w:pPr>
              <w:pStyle w:val="12"/>
            </w:pPr>
            <w:r>
              <w:t>提前下达2025年省级公共图书馆美术馆文化馆（站）免费开放补助资金（唐财教[2024]87号）</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根据《河北省财政厅关于提前下达2025年省级公共图书馆、美术馆、文化馆（站）免费开放补助资金预算的通知》（唐财教[2024]87号）要求，大力实施公共文化免费对外开放服务。配合区委、区政府工作中心和上级主题活动要求，制作反映主题、宣传丰南、展现丰南民众昂扬向上精神风貌的原创文艺作品，涉及资金共计2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50%</w:t>
            </w:r>
          </w:p>
        </w:tc>
        <w:tc>
          <w:tcPr>
            <w:tcW w:w="2551" w:type="dxa"/>
            <w:vAlign w:val="center"/>
          </w:tcPr>
          <w:p>
            <w:pPr>
              <w:pStyle w:val="13"/>
            </w:pPr>
            <w:r>
              <w:t>100%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1.配合上级主题，制作宣传音乐、视频，宣传丰南，丰富和活跃群众文化生活，引导群众广泛参与文化。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完成原创作品的数量</w:t>
            </w:r>
          </w:p>
        </w:tc>
        <w:tc>
          <w:tcPr>
            <w:tcW w:w="5386" w:type="dxa"/>
            <w:vAlign w:val="center"/>
          </w:tcPr>
          <w:p>
            <w:pPr>
              <w:pStyle w:val="12"/>
            </w:pPr>
            <w:r>
              <w:t>全年完成小品、音乐、舞蹈等作品，确保资金投入能有效转化为文化成果</w:t>
            </w:r>
          </w:p>
        </w:tc>
        <w:tc>
          <w:tcPr>
            <w:tcW w:w="2268" w:type="dxa"/>
            <w:vAlign w:val="center"/>
          </w:tcPr>
          <w:p>
            <w:pPr>
              <w:pStyle w:val="12"/>
            </w:pPr>
            <w:r>
              <w:t>≥2件</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原创作品获奖情况</w:t>
            </w:r>
          </w:p>
        </w:tc>
        <w:tc>
          <w:tcPr>
            <w:tcW w:w="5386" w:type="dxa"/>
            <w:vAlign w:val="center"/>
          </w:tcPr>
          <w:p>
            <w:pPr>
              <w:pStyle w:val="12"/>
            </w:pPr>
            <w:r>
              <w:t>制作的原创作品参加各级各类演出活动努力获奖</w:t>
            </w:r>
          </w:p>
        </w:tc>
        <w:tc>
          <w:tcPr>
            <w:tcW w:w="2268" w:type="dxa"/>
            <w:vAlign w:val="center"/>
          </w:tcPr>
          <w:p>
            <w:pPr>
              <w:pStyle w:val="12"/>
            </w:pPr>
            <w:r>
              <w:t>≥3件</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作品专业评审达标率</w:t>
            </w:r>
          </w:p>
        </w:tc>
        <w:tc>
          <w:tcPr>
            <w:tcW w:w="5386" w:type="dxa"/>
            <w:vAlign w:val="center"/>
          </w:tcPr>
          <w:p>
            <w:pPr>
              <w:pStyle w:val="12"/>
            </w:pPr>
            <w:r>
              <w:t>聘请专业老师评估，确保作品更具专业性，符合审美，确保具有较高的艺术价值、观赏性</w:t>
            </w:r>
          </w:p>
        </w:tc>
        <w:tc>
          <w:tcPr>
            <w:tcW w:w="2268" w:type="dxa"/>
            <w:vAlign w:val="center"/>
          </w:tcPr>
          <w:p>
            <w:pPr>
              <w:pStyle w:val="12"/>
            </w:pPr>
            <w:r>
              <w:t>增加</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项目完成及时率</w:t>
            </w:r>
          </w:p>
        </w:tc>
        <w:tc>
          <w:tcPr>
            <w:tcW w:w="5386" w:type="dxa"/>
            <w:vAlign w:val="center"/>
          </w:tcPr>
          <w:p>
            <w:pPr>
              <w:pStyle w:val="12"/>
            </w:pPr>
            <w:r>
              <w:t>6月之前完成至少1件作品，制定详细计划，确保资金使用</w:t>
            </w:r>
          </w:p>
        </w:tc>
        <w:tc>
          <w:tcPr>
            <w:tcW w:w="2268" w:type="dxa"/>
            <w:vAlign w:val="center"/>
          </w:tcPr>
          <w:p>
            <w:pPr>
              <w:pStyle w:val="12"/>
            </w:pPr>
            <w:r>
              <w:t>≥2件</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预算执行偏差率</w:t>
            </w:r>
          </w:p>
        </w:tc>
        <w:tc>
          <w:tcPr>
            <w:tcW w:w="5386" w:type="dxa"/>
            <w:vAlign w:val="center"/>
          </w:tcPr>
          <w:p>
            <w:pPr>
              <w:pStyle w:val="12"/>
            </w:pPr>
            <w:r>
              <w:t>严格控制成本，确保实际支出2万元，保证资金合理使用</w:t>
            </w:r>
          </w:p>
        </w:tc>
        <w:tc>
          <w:tcPr>
            <w:tcW w:w="2268" w:type="dxa"/>
            <w:vAlign w:val="center"/>
          </w:tcPr>
          <w:p>
            <w:pPr>
              <w:pStyle w:val="12"/>
            </w:pPr>
            <w:r>
              <w:t>≤2万元</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作品演出中带动其他相关活动项目增收情况</w:t>
            </w:r>
          </w:p>
        </w:tc>
        <w:tc>
          <w:tcPr>
            <w:tcW w:w="5386" w:type="dxa"/>
            <w:vAlign w:val="center"/>
          </w:tcPr>
          <w:p>
            <w:pPr>
              <w:pStyle w:val="12"/>
            </w:pPr>
            <w:r>
              <w:t>作品广爱好评，围观群众多，具有吸引力，引起关注，拓展商业合作，提升创作经济附加值</w:t>
            </w:r>
          </w:p>
        </w:tc>
        <w:tc>
          <w:tcPr>
            <w:tcW w:w="2268" w:type="dxa"/>
            <w:vAlign w:val="center"/>
          </w:tcPr>
          <w:p>
            <w:pPr>
              <w:pStyle w:val="12"/>
            </w:pPr>
            <w:r>
              <w:t>增长</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吸引外界关注度</w:t>
            </w:r>
          </w:p>
        </w:tc>
        <w:tc>
          <w:tcPr>
            <w:tcW w:w="5386" w:type="dxa"/>
            <w:vAlign w:val="center"/>
          </w:tcPr>
          <w:p>
            <w:pPr>
              <w:pStyle w:val="12"/>
            </w:pPr>
            <w:r>
              <w:t>激发鼓励更多的文化爱好者积极参与</w:t>
            </w:r>
          </w:p>
        </w:tc>
        <w:tc>
          <w:tcPr>
            <w:tcW w:w="2268" w:type="dxa"/>
            <w:vAlign w:val="center"/>
          </w:tcPr>
          <w:p>
            <w:pPr>
              <w:pStyle w:val="12"/>
            </w:pPr>
            <w:r>
              <w:t>增长</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文化创作人才培养和留存率</w:t>
            </w:r>
          </w:p>
        </w:tc>
        <w:tc>
          <w:tcPr>
            <w:tcW w:w="5386" w:type="dxa"/>
            <w:vAlign w:val="center"/>
          </w:tcPr>
          <w:p>
            <w:pPr>
              <w:pStyle w:val="12"/>
            </w:pPr>
            <w:r>
              <w:t>借助原创作品项目，培养挖掘文化馆文艺创作人才，并确保留存率不低于95%，为文化馆创作注入新血液，推出高质量文艺作品</w:t>
            </w:r>
          </w:p>
        </w:tc>
        <w:tc>
          <w:tcPr>
            <w:tcW w:w="2268" w:type="dxa"/>
            <w:vAlign w:val="center"/>
          </w:tcPr>
          <w:p>
            <w:pPr>
              <w:pStyle w:val="12"/>
            </w:pPr>
            <w:r>
              <w:t>≥95%</w:t>
            </w:r>
          </w:p>
        </w:tc>
        <w:tc>
          <w:tcPr>
            <w:tcW w:w="1276" w:type="dxa"/>
            <w:vAlign w:val="center"/>
          </w:tcPr>
          <w:p>
            <w:pPr>
              <w:pStyle w:val="12"/>
            </w:pPr>
            <w:r>
              <w:t>公共示范区建设标准，国家一级馆要求及唐山市财政局关于提前下达2025年省级公共图书馆、美术馆、文化馆（站）免费开放补助资金预算的通知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群众对类似宣传的满意程度</w:t>
            </w:r>
          </w:p>
        </w:tc>
        <w:tc>
          <w:tcPr>
            <w:tcW w:w="2268" w:type="dxa"/>
            <w:vAlign w:val="center"/>
          </w:tcPr>
          <w:p>
            <w:pPr>
              <w:pStyle w:val="12"/>
            </w:pPr>
            <w:r>
              <w:t>≥95%</w:t>
            </w:r>
          </w:p>
        </w:tc>
        <w:tc>
          <w:tcPr>
            <w:tcW w:w="1276" w:type="dxa"/>
            <w:vAlign w:val="center"/>
          </w:tcPr>
          <w:p>
            <w:pPr>
              <w:pStyle w:val="12"/>
            </w:pPr>
            <w:r>
              <w:t>问卷调查</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6、物业管理费（群众文化活动中心）绩效目标表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13020725P008DXN100250</w:t>
            </w:r>
          </w:p>
        </w:tc>
        <w:tc>
          <w:tcPr>
            <w:tcW w:w="2835" w:type="dxa"/>
            <w:vAlign w:val="center"/>
          </w:tcPr>
          <w:p>
            <w:pPr>
              <w:pStyle w:val="10"/>
            </w:pPr>
            <w:r>
              <w:t>项目名称</w:t>
            </w:r>
          </w:p>
        </w:tc>
        <w:tc>
          <w:tcPr>
            <w:tcW w:w="6095" w:type="dxa"/>
            <w:gridSpan w:val="3"/>
            <w:vAlign w:val="center"/>
          </w:tcPr>
          <w:p>
            <w:pPr>
              <w:pStyle w:val="12"/>
            </w:pPr>
            <w:r>
              <w:t>物业管理费（群众文化活动中心）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12.24</w:t>
            </w:r>
          </w:p>
        </w:tc>
        <w:tc>
          <w:tcPr>
            <w:tcW w:w="2835" w:type="dxa"/>
            <w:vAlign w:val="center"/>
          </w:tcPr>
          <w:p>
            <w:pPr>
              <w:pStyle w:val="10"/>
            </w:pPr>
            <w:r>
              <w:t>其中：财政    资金</w:t>
            </w:r>
          </w:p>
        </w:tc>
        <w:tc>
          <w:tcPr>
            <w:tcW w:w="2551" w:type="dxa"/>
            <w:vAlign w:val="center"/>
          </w:tcPr>
          <w:p>
            <w:pPr>
              <w:pStyle w:val="12"/>
            </w:pPr>
            <w:r>
              <w:t>12.24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群众文化活动中心全年对外免费开放，积极组织各种群众文体活动，全年参与活动群众达到3万人次，为全区广大群众营造良好的社会活动环境。为了确保院内整洁，每天需要清扫整理，定期清理垃圾死角；同时院内也保持了良好的治安环境。目前聘用4名工作人员，2025年申请物业管理费（群众文化活动中心）12.24万元（保洁服务费5.28万元，保安服务费6.96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25%</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1.保障群众文化活动中心秩序稳定，卫生状态良好。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物业服务人数</w:t>
            </w:r>
          </w:p>
        </w:tc>
        <w:tc>
          <w:tcPr>
            <w:tcW w:w="5386" w:type="dxa"/>
            <w:vAlign w:val="center"/>
          </w:tcPr>
          <w:p>
            <w:pPr>
              <w:pStyle w:val="12"/>
            </w:pPr>
            <w:r>
              <w:t>反映保安、保洁人数情况</w:t>
            </w:r>
          </w:p>
        </w:tc>
        <w:tc>
          <w:tcPr>
            <w:tcW w:w="2268" w:type="dxa"/>
            <w:vAlign w:val="center"/>
          </w:tcPr>
          <w:p>
            <w:pPr>
              <w:pStyle w:val="12"/>
            </w:pPr>
            <w:r>
              <w:t>4人</w:t>
            </w:r>
          </w:p>
        </w:tc>
        <w:tc>
          <w:tcPr>
            <w:tcW w:w="1276" w:type="dxa"/>
            <w:vAlign w:val="center"/>
          </w:tcPr>
          <w:p>
            <w:pPr>
              <w:pStyle w:val="12"/>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物业服务合格率</w:t>
            </w:r>
          </w:p>
        </w:tc>
        <w:tc>
          <w:tcPr>
            <w:tcW w:w="5386" w:type="dxa"/>
            <w:vAlign w:val="center"/>
          </w:tcPr>
          <w:p>
            <w:pPr>
              <w:pStyle w:val="12"/>
            </w:pPr>
            <w:r>
              <w:t>反映物业服务质量合格率情况</w:t>
            </w:r>
          </w:p>
        </w:tc>
        <w:tc>
          <w:tcPr>
            <w:tcW w:w="2268" w:type="dxa"/>
            <w:vAlign w:val="center"/>
          </w:tcPr>
          <w:p>
            <w:pPr>
              <w:pStyle w:val="12"/>
            </w:pPr>
            <w:r>
              <w:t>100%</w:t>
            </w:r>
          </w:p>
        </w:tc>
        <w:tc>
          <w:tcPr>
            <w:tcW w:w="1276" w:type="dxa"/>
            <w:vAlign w:val="center"/>
          </w:tcPr>
          <w:p>
            <w:pPr>
              <w:pStyle w:val="12"/>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物业服务完成及时性</w:t>
            </w:r>
          </w:p>
        </w:tc>
        <w:tc>
          <w:tcPr>
            <w:tcW w:w="5386" w:type="dxa"/>
            <w:vAlign w:val="center"/>
          </w:tcPr>
          <w:p>
            <w:pPr>
              <w:pStyle w:val="12"/>
            </w:pPr>
            <w:r>
              <w:t>反映物业服务完成及时情况</w:t>
            </w:r>
          </w:p>
        </w:tc>
        <w:tc>
          <w:tcPr>
            <w:tcW w:w="2268" w:type="dxa"/>
            <w:vAlign w:val="center"/>
          </w:tcPr>
          <w:p>
            <w:pPr>
              <w:pStyle w:val="12"/>
            </w:pPr>
            <w:r>
              <w:t>及时</w:t>
            </w:r>
          </w:p>
        </w:tc>
        <w:tc>
          <w:tcPr>
            <w:tcW w:w="1276" w:type="dxa"/>
            <w:vAlign w:val="center"/>
          </w:tcPr>
          <w:p>
            <w:pPr>
              <w:pStyle w:val="12"/>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物业服务成本控制情况</w:t>
            </w:r>
          </w:p>
        </w:tc>
        <w:tc>
          <w:tcPr>
            <w:tcW w:w="5386" w:type="dxa"/>
            <w:vAlign w:val="center"/>
          </w:tcPr>
          <w:p>
            <w:pPr>
              <w:pStyle w:val="12"/>
            </w:pPr>
            <w:r>
              <w:t>物业服务成本下降或增幅低于行业平均标准</w:t>
            </w:r>
          </w:p>
        </w:tc>
        <w:tc>
          <w:tcPr>
            <w:tcW w:w="2268" w:type="dxa"/>
            <w:vAlign w:val="center"/>
          </w:tcPr>
          <w:p>
            <w:pPr>
              <w:pStyle w:val="12"/>
            </w:pPr>
            <w:r>
              <w:t>有效控制</w:t>
            </w:r>
          </w:p>
        </w:tc>
        <w:tc>
          <w:tcPr>
            <w:tcW w:w="1276" w:type="dxa"/>
            <w:vAlign w:val="center"/>
          </w:tcPr>
          <w:p>
            <w:pPr>
              <w:pStyle w:val="12"/>
            </w:pPr>
            <w:r>
              <w:t>行业标准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保障群众文化活动中心正常运转</w:t>
            </w:r>
          </w:p>
        </w:tc>
        <w:tc>
          <w:tcPr>
            <w:tcW w:w="5386" w:type="dxa"/>
            <w:vAlign w:val="center"/>
          </w:tcPr>
          <w:p>
            <w:pPr>
              <w:pStyle w:val="12"/>
            </w:pPr>
            <w:r>
              <w:t>反映保障群众文化活动中心正常运转情况</w:t>
            </w:r>
          </w:p>
        </w:tc>
        <w:tc>
          <w:tcPr>
            <w:tcW w:w="2268" w:type="dxa"/>
            <w:vAlign w:val="center"/>
          </w:tcPr>
          <w:p>
            <w:pPr>
              <w:pStyle w:val="12"/>
            </w:pPr>
            <w:r>
              <w:t>有效保障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反映群众满意程度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13020725P008DXN10024C</w:t>
            </w:r>
          </w:p>
        </w:tc>
        <w:tc>
          <w:tcPr>
            <w:tcW w:w="2835" w:type="dxa"/>
            <w:vAlign w:val="center"/>
          </w:tcPr>
          <w:p>
            <w:pPr>
              <w:pStyle w:val="10"/>
            </w:pPr>
            <w:r>
              <w:t>项目名称</w:t>
            </w:r>
          </w:p>
        </w:tc>
        <w:tc>
          <w:tcPr>
            <w:tcW w:w="6095" w:type="dxa"/>
            <w:gridSpan w:val="3"/>
            <w:vAlign w:val="center"/>
          </w:tcPr>
          <w:p>
            <w:pPr>
              <w:pStyle w:val="12"/>
            </w:pPr>
            <w:r>
              <w:t>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根据国家一级馆达标要求及国家级公共文化服务体系示范区建设要求，文化馆需建设网络化数字馆，更好更快捷地服务大众。2025年申请运转经费资金3万元，全部用于光纤租赁。确保网络畅通，做好文化传播。</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100%</w:t>
            </w:r>
          </w:p>
        </w:tc>
        <w:tc>
          <w:tcPr>
            <w:tcW w:w="2551" w:type="dxa"/>
            <w:vAlign w:val="center"/>
          </w:tcPr>
          <w:p>
            <w:pPr>
              <w:pStyle w:val="13"/>
            </w:pPr>
            <w:r>
              <w:t>100%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1.公共文化设施达标，机构和队伍健全，实现公共文化资源共享，形成城乡一体公共文化服务网络；公共文化产品生产和服务能力提高，基本公共文化服务标准化、均等化水平不断提高。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租赁光纤网络数量</w:t>
            </w:r>
          </w:p>
        </w:tc>
        <w:tc>
          <w:tcPr>
            <w:tcW w:w="5386" w:type="dxa"/>
            <w:vAlign w:val="center"/>
          </w:tcPr>
          <w:p>
            <w:pPr>
              <w:pStyle w:val="12"/>
            </w:pPr>
            <w:r>
              <w:t>反映租赁光纤网络数量情况</w:t>
            </w:r>
          </w:p>
        </w:tc>
        <w:tc>
          <w:tcPr>
            <w:tcW w:w="2268" w:type="dxa"/>
            <w:vAlign w:val="center"/>
          </w:tcPr>
          <w:p>
            <w:pPr>
              <w:pStyle w:val="12"/>
            </w:pPr>
            <w:r>
              <w:t>≥2条</w:t>
            </w:r>
          </w:p>
        </w:tc>
        <w:tc>
          <w:tcPr>
            <w:tcW w:w="1276" w:type="dxa"/>
            <w:vAlign w:val="center"/>
          </w:tcPr>
          <w:p>
            <w:pPr>
              <w:pStyle w:val="12"/>
            </w:pPr>
            <w:r>
              <w:t>租赁合同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租赁光纤网络达标率</w:t>
            </w:r>
          </w:p>
        </w:tc>
        <w:tc>
          <w:tcPr>
            <w:tcW w:w="5386" w:type="dxa"/>
            <w:vAlign w:val="center"/>
          </w:tcPr>
          <w:p>
            <w:pPr>
              <w:pStyle w:val="12"/>
            </w:pPr>
            <w:r>
              <w:t>反映租赁光纤网络的正常运行情况</w:t>
            </w:r>
          </w:p>
        </w:tc>
        <w:tc>
          <w:tcPr>
            <w:tcW w:w="2268" w:type="dxa"/>
            <w:vAlign w:val="center"/>
          </w:tcPr>
          <w:p>
            <w:pPr>
              <w:pStyle w:val="12"/>
            </w:pPr>
            <w:r>
              <w:t>100%</w:t>
            </w:r>
          </w:p>
        </w:tc>
        <w:tc>
          <w:tcPr>
            <w:tcW w:w="1276" w:type="dxa"/>
            <w:vAlign w:val="center"/>
          </w:tcPr>
          <w:p>
            <w:pPr>
              <w:pStyle w:val="12"/>
            </w:pPr>
            <w:r>
              <w:t>租赁合同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租赁光纤网络畅通率</w:t>
            </w:r>
          </w:p>
        </w:tc>
        <w:tc>
          <w:tcPr>
            <w:tcW w:w="5386" w:type="dxa"/>
            <w:vAlign w:val="center"/>
          </w:tcPr>
          <w:p>
            <w:pPr>
              <w:pStyle w:val="12"/>
            </w:pPr>
            <w:r>
              <w:t>反映租赁光纤网络的畅通率</w:t>
            </w:r>
          </w:p>
        </w:tc>
        <w:tc>
          <w:tcPr>
            <w:tcW w:w="2268" w:type="dxa"/>
            <w:vAlign w:val="center"/>
          </w:tcPr>
          <w:p>
            <w:pPr>
              <w:pStyle w:val="12"/>
            </w:pPr>
            <w:r>
              <w:t>100%</w:t>
            </w:r>
          </w:p>
        </w:tc>
        <w:tc>
          <w:tcPr>
            <w:tcW w:w="1276" w:type="dxa"/>
            <w:vAlign w:val="center"/>
          </w:tcPr>
          <w:p>
            <w:pPr>
              <w:pStyle w:val="12"/>
            </w:pPr>
            <w:r>
              <w:t>网络畅通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网线租赁成本</w:t>
            </w:r>
          </w:p>
        </w:tc>
        <w:tc>
          <w:tcPr>
            <w:tcW w:w="5386" w:type="dxa"/>
            <w:vAlign w:val="center"/>
          </w:tcPr>
          <w:p>
            <w:pPr>
              <w:pStyle w:val="12"/>
            </w:pPr>
            <w:r>
              <w:t>反映网线租赁成本情况</w:t>
            </w:r>
          </w:p>
        </w:tc>
        <w:tc>
          <w:tcPr>
            <w:tcW w:w="2268" w:type="dxa"/>
            <w:vAlign w:val="center"/>
          </w:tcPr>
          <w:p>
            <w:pPr>
              <w:pStyle w:val="12"/>
            </w:pPr>
            <w:r>
              <w:t>≤3万元</w:t>
            </w:r>
          </w:p>
        </w:tc>
        <w:tc>
          <w:tcPr>
            <w:tcW w:w="1276" w:type="dxa"/>
            <w:vAlign w:val="center"/>
          </w:tcPr>
          <w:p>
            <w:pPr>
              <w:pStyle w:val="12"/>
            </w:pPr>
            <w:r>
              <w:t>合同</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提升工作效率的保障程度</w:t>
            </w:r>
          </w:p>
        </w:tc>
        <w:tc>
          <w:tcPr>
            <w:tcW w:w="5386" w:type="dxa"/>
            <w:vAlign w:val="center"/>
          </w:tcPr>
          <w:p>
            <w:pPr>
              <w:pStyle w:val="12"/>
            </w:pPr>
            <w:r>
              <w:t>反映租赁光纤网络对提升工作效率的保障程度情况</w:t>
            </w:r>
          </w:p>
        </w:tc>
        <w:tc>
          <w:tcPr>
            <w:tcW w:w="2268" w:type="dxa"/>
            <w:vAlign w:val="center"/>
          </w:tcPr>
          <w:p>
            <w:pPr>
              <w:pStyle w:val="12"/>
            </w:pPr>
            <w:r>
              <w:t>有效保障</w:t>
            </w:r>
          </w:p>
        </w:tc>
        <w:tc>
          <w:tcPr>
            <w:tcW w:w="1276" w:type="dxa"/>
            <w:vAlign w:val="center"/>
          </w:tcPr>
          <w:p>
            <w:pPr>
              <w:pStyle w:val="12"/>
            </w:pPr>
            <w:r>
              <w:t>经验标准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工作人员满意度</w:t>
            </w:r>
          </w:p>
        </w:tc>
        <w:tc>
          <w:tcPr>
            <w:tcW w:w="5386" w:type="dxa"/>
            <w:vAlign w:val="center"/>
          </w:tcPr>
          <w:p>
            <w:pPr>
              <w:pStyle w:val="12"/>
            </w:pPr>
            <w:r>
              <w:t>反映工作人员满意程度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8、运转经费（群众文化活动中心）绩效目标表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13020725P008DXN100277</w:t>
            </w:r>
          </w:p>
        </w:tc>
        <w:tc>
          <w:tcPr>
            <w:tcW w:w="2835" w:type="dxa"/>
            <w:vAlign w:val="center"/>
          </w:tcPr>
          <w:p>
            <w:pPr>
              <w:pStyle w:val="10"/>
            </w:pPr>
            <w:r>
              <w:t>项目名称</w:t>
            </w:r>
          </w:p>
        </w:tc>
        <w:tc>
          <w:tcPr>
            <w:tcW w:w="6095" w:type="dxa"/>
            <w:gridSpan w:val="3"/>
            <w:vAlign w:val="center"/>
          </w:tcPr>
          <w:p>
            <w:pPr>
              <w:pStyle w:val="12"/>
            </w:pPr>
            <w:r>
              <w:t>运转经费（群众文化活动中心）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4.10</w:t>
            </w:r>
          </w:p>
        </w:tc>
        <w:tc>
          <w:tcPr>
            <w:tcW w:w="2835" w:type="dxa"/>
            <w:vAlign w:val="center"/>
          </w:tcPr>
          <w:p>
            <w:pPr>
              <w:pStyle w:val="10"/>
            </w:pPr>
            <w:r>
              <w:t>其中：财政    资金</w:t>
            </w:r>
          </w:p>
        </w:tc>
        <w:tc>
          <w:tcPr>
            <w:tcW w:w="2551" w:type="dxa"/>
            <w:vAlign w:val="center"/>
          </w:tcPr>
          <w:p>
            <w:pPr>
              <w:pStyle w:val="12"/>
            </w:pPr>
            <w:r>
              <w:t>4.10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群众文化活动中心2025年积极组织各项文体活动。2025年申请运转经费（群众文化活动中心）资金4.1万元，主要用于：为了确保群众文化活动中心日常办公的正常运行，需申请电费3.5万元、水费0.6万元。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w:t>
            </w:r>
          </w:p>
        </w:tc>
        <w:tc>
          <w:tcPr>
            <w:tcW w:w="2835" w:type="dxa"/>
            <w:vAlign w:val="center"/>
          </w:tcPr>
          <w:p>
            <w:pPr>
              <w:pStyle w:val="13"/>
            </w:pPr>
            <w:r>
              <w:t>50%</w:t>
            </w:r>
          </w:p>
        </w:tc>
        <w:tc>
          <w:tcPr>
            <w:tcW w:w="2551" w:type="dxa"/>
            <w:vAlign w:val="center"/>
          </w:tcPr>
          <w:p>
            <w:pPr>
              <w:pStyle w:val="13"/>
            </w:pPr>
            <w:r>
              <w:t>100%</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1.保障群众文化活动中心日常办公正常运转。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全年供水总量</w:t>
            </w:r>
          </w:p>
        </w:tc>
        <w:tc>
          <w:tcPr>
            <w:tcW w:w="5386" w:type="dxa"/>
            <w:vAlign w:val="center"/>
          </w:tcPr>
          <w:p>
            <w:pPr>
              <w:pStyle w:val="12"/>
            </w:pPr>
            <w:r>
              <w:t>全年供应的用水量数</w:t>
            </w:r>
          </w:p>
        </w:tc>
        <w:tc>
          <w:tcPr>
            <w:tcW w:w="2268" w:type="dxa"/>
            <w:vAlign w:val="center"/>
          </w:tcPr>
          <w:p>
            <w:pPr>
              <w:pStyle w:val="12"/>
            </w:pPr>
            <w:r>
              <w:t>≤900吨</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全年供电总量</w:t>
            </w:r>
          </w:p>
        </w:tc>
        <w:tc>
          <w:tcPr>
            <w:tcW w:w="5386" w:type="dxa"/>
            <w:vAlign w:val="center"/>
          </w:tcPr>
          <w:p>
            <w:pPr>
              <w:pStyle w:val="12"/>
            </w:pPr>
            <w:r>
              <w:t>全年供应的用电量数</w:t>
            </w:r>
          </w:p>
        </w:tc>
        <w:tc>
          <w:tcPr>
            <w:tcW w:w="2268" w:type="dxa"/>
            <w:vAlign w:val="center"/>
          </w:tcPr>
          <w:p>
            <w:pPr>
              <w:pStyle w:val="12"/>
            </w:pPr>
            <w:r>
              <w:t>≤52593千瓦时</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保障工作正常开展</w:t>
            </w:r>
          </w:p>
        </w:tc>
        <w:tc>
          <w:tcPr>
            <w:tcW w:w="5386" w:type="dxa"/>
            <w:vAlign w:val="center"/>
          </w:tcPr>
          <w:p>
            <w:pPr>
              <w:pStyle w:val="12"/>
            </w:pPr>
            <w:r>
              <w:t>反映供水供电正常，办公设备设施满足需要情况</w:t>
            </w:r>
          </w:p>
        </w:tc>
        <w:tc>
          <w:tcPr>
            <w:tcW w:w="2268" w:type="dxa"/>
            <w:vAlign w:val="center"/>
          </w:tcPr>
          <w:p>
            <w:pPr>
              <w:pStyle w:val="12"/>
            </w:pPr>
            <w:r>
              <w:t>有效保障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运转经费及时保障</w:t>
            </w:r>
          </w:p>
        </w:tc>
        <w:tc>
          <w:tcPr>
            <w:tcW w:w="5386" w:type="dxa"/>
            <w:vAlign w:val="center"/>
          </w:tcPr>
          <w:p>
            <w:pPr>
              <w:pStyle w:val="12"/>
            </w:pPr>
            <w:r>
              <w:t>水、电在规定时间内支付到位情况</w:t>
            </w:r>
          </w:p>
        </w:tc>
        <w:tc>
          <w:tcPr>
            <w:tcW w:w="2268" w:type="dxa"/>
            <w:vAlign w:val="center"/>
          </w:tcPr>
          <w:p>
            <w:pPr>
              <w:pStyle w:val="12"/>
            </w:pPr>
            <w:r>
              <w:t>及时保障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群众文化活动中心运转经费</w:t>
            </w:r>
          </w:p>
        </w:tc>
        <w:tc>
          <w:tcPr>
            <w:tcW w:w="5386" w:type="dxa"/>
            <w:vAlign w:val="center"/>
          </w:tcPr>
          <w:p>
            <w:pPr>
              <w:pStyle w:val="12"/>
            </w:pPr>
            <w:r>
              <w:t>反映群众文化活动中心运转经费情况</w:t>
            </w:r>
          </w:p>
        </w:tc>
        <w:tc>
          <w:tcPr>
            <w:tcW w:w="2268" w:type="dxa"/>
            <w:vAlign w:val="center"/>
          </w:tcPr>
          <w:p>
            <w:pPr>
              <w:pStyle w:val="12"/>
            </w:pPr>
            <w:r>
              <w:t>≤4.1万元</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保障群众文化活动中心正常运转</w:t>
            </w:r>
          </w:p>
        </w:tc>
        <w:tc>
          <w:tcPr>
            <w:tcW w:w="5386" w:type="dxa"/>
            <w:vAlign w:val="center"/>
          </w:tcPr>
          <w:p>
            <w:pPr>
              <w:pStyle w:val="12"/>
            </w:pPr>
            <w:r>
              <w:t>反映保障群众文化活动中心正常运转情况</w:t>
            </w:r>
          </w:p>
        </w:tc>
        <w:tc>
          <w:tcPr>
            <w:tcW w:w="2268" w:type="dxa"/>
            <w:vAlign w:val="center"/>
          </w:tcPr>
          <w:p>
            <w:pPr>
              <w:pStyle w:val="12"/>
            </w:pPr>
            <w:r>
              <w:t>有效保障</w:t>
            </w:r>
          </w:p>
        </w:tc>
        <w:tc>
          <w:tcPr>
            <w:tcW w:w="1276" w:type="dxa"/>
            <w:vAlign w:val="center"/>
          </w:tcPr>
          <w:p>
            <w:pPr>
              <w:pStyle w:val="12"/>
            </w:pPr>
            <w:r>
              <w:t>历史标准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反映群众满意程度</w:t>
            </w:r>
          </w:p>
        </w:tc>
        <w:tc>
          <w:tcPr>
            <w:tcW w:w="2268" w:type="dxa"/>
            <w:vAlign w:val="center"/>
          </w:tcPr>
          <w:p>
            <w:pPr>
              <w:pStyle w:val="12"/>
            </w:pPr>
            <w:r>
              <w:t>≥95%</w:t>
            </w:r>
          </w:p>
        </w:tc>
        <w:tc>
          <w:tcPr>
            <w:tcW w:w="1276" w:type="dxa"/>
            <w:vAlign w:val="center"/>
          </w:tcPr>
          <w:p>
            <w:pPr>
              <w:pStyle w:val="12"/>
            </w:pPr>
            <w:r>
              <w:t>经验标准</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408001唐山市丰南区文化馆本级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唐山市丰南区文化馆本级上年末固定资产金额为670.23万元（详见下表）。本年度拟购置固定资产总额为0.00万元，已按要求列入政府采购预算，详见政府采购预算表。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408001唐山市丰南区文化馆本级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670.23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r>
              <w:t>1</w:t>
            </w:r>
          </w:p>
        </w:tc>
        <w:tc>
          <w:tcPr>
            <w:tcW w:w="2835" w:type="dxa"/>
            <w:vAlign w:val="center"/>
          </w:tcPr>
          <w:p>
            <w:pPr>
              <w:pStyle w:val="11"/>
            </w:pPr>
            <w:r>
              <w:t>54.30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2</w:t>
            </w:r>
          </w:p>
        </w:tc>
        <w:tc>
          <w:tcPr>
            <w:tcW w:w="2835" w:type="dxa"/>
            <w:vAlign w:val="center"/>
          </w:tcPr>
          <w:p>
            <w:pPr>
              <w:pStyle w:val="11"/>
            </w:pPr>
            <w:r>
              <w:t>615.93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2ZlOWFmYTE3Nzk2NTMyNzc2NGE1MTE3OTJjZDMzYmEifQ=="/>
  </w:docVars>
  <w:rsids>
    <w:rsidRoot w:val="00000000"/>
    <w:rsid w:val="347F60F0"/>
    <w:rsid w:val="4B754A7B"/>
    <w:rsid w:val="4BB662CD"/>
    <w:rsid w:val="5EFE20F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TotalTime>9</TotalTime>
  <ScaleCrop>false</ScaleCrop>
  <LinksUpToDate>false</LinksUpToDate>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2025-01-21T16:11:00Z</dcterms:created>
  <dc:creator>admin</dc:creator>
  <cp:lastModifiedBy>admin</cp:lastModifiedBy>
  <dcterms:modified xsi:type="dcterms:W3CDTF">2025-02-07T02:15:45Z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3FAC2600501E4F92AB9C388F3C49DB43_12</vt:lpwstr>
  </property>
</Properties>
</file>