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bookmarkStart w:id="1" w:name="_GoBack"/>
      <w:bookmarkEnd w:id="1"/>
      <w:r>
        <w:rPr>
          <w:rFonts w:ascii="黑体" w:hAnsi="黑体" w:eastAsia="黑体" w:cs="黑体"/>
          <w:b/>
          <w:color w:val="000000"/>
          <w:sz w:val="44"/>
        </w:rPr>
        <w:t>2024年单位预算信息公开目录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一、唐山市丰南区文化馆本级收支预算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一、唐山市丰南区文化馆本级收支预算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9"/>
            </w:pPr>
            <w:r>
              <w:t>408001唐山市丰南区文化馆本级</w:t>
            </w:r>
          </w:p>
        </w:tc>
        <w:tc>
          <w:tcPr>
            <w:tcW w:w="2126" w:type="dxa"/>
            <w:tcBorders>
              <w:top w:val="single" w:color="FFFFFF" w:sz="6" w:space="0"/>
              <w:left w:val="single" w:color="FFFFFF" w:sz="6" w:space="0"/>
              <w:right w:val="single" w:color="FFFFFF" w:sz="6" w:space="0"/>
            </w:tcBorders>
            <w:vAlign w:val="center"/>
          </w:tcPr>
          <w:p>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491.85</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r>
              <w:t>491.85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491.85</w:t>
            </w:r>
          </w:p>
        </w:tc>
        <w:tc>
          <w:tcPr>
            <w:tcW w:w="4535" w:type="dxa"/>
            <w:vAlign w:val="center"/>
          </w:tcPr>
          <w:p>
            <w:pPr>
              <w:pStyle w:val="14"/>
            </w:pPr>
            <w:r>
              <w:t>本年支出合计</w:t>
            </w:r>
          </w:p>
        </w:tc>
        <w:tc>
          <w:tcPr>
            <w:tcW w:w="2126" w:type="dxa"/>
            <w:vAlign w:val="center"/>
          </w:tcPr>
          <w:p>
            <w:pPr>
              <w:pStyle w:val="15"/>
            </w:pPr>
            <w:r>
              <w:t>491.85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491.85</w:t>
            </w:r>
          </w:p>
        </w:tc>
        <w:tc>
          <w:tcPr>
            <w:tcW w:w="4535" w:type="dxa"/>
            <w:vAlign w:val="center"/>
          </w:tcPr>
          <w:p>
            <w:pPr>
              <w:pStyle w:val="14"/>
            </w:pPr>
            <w:r>
              <w:t>支出总计</w:t>
            </w:r>
          </w:p>
        </w:tc>
        <w:tc>
          <w:tcPr>
            <w:tcW w:w="2126" w:type="dxa"/>
            <w:vAlign w:val="center"/>
          </w:tcPr>
          <w:p>
            <w:pPr>
              <w:pStyle w:val="15"/>
            </w:pPr>
            <w:r>
              <w:t>491.85</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408001唐山市丰南区文化馆本级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1"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491.85</w:t>
            </w:r>
          </w:p>
        </w:tc>
        <w:tc>
          <w:tcPr>
            <w:tcW w:w="1134" w:type="dxa"/>
            <w:vAlign w:val="center"/>
          </w:tcPr>
          <w:p>
            <w:pPr>
              <w:pStyle w:val="15"/>
            </w:pPr>
            <w:r>
              <w:t>491.85</w:t>
            </w:r>
          </w:p>
        </w:tc>
        <w:tc>
          <w:tcPr>
            <w:tcW w:w="1134" w:type="dxa"/>
            <w:vAlign w:val="center"/>
          </w:tcPr>
          <w:p>
            <w:pPr>
              <w:pStyle w:val="15"/>
            </w:pPr>
            <w:r>
              <w:t>491.85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207</w:t>
            </w:r>
          </w:p>
        </w:tc>
        <w:tc>
          <w:tcPr>
            <w:tcW w:w="1559" w:type="dxa"/>
            <w:vAlign w:val="center"/>
          </w:tcPr>
          <w:p>
            <w:pPr>
              <w:pStyle w:val="12"/>
            </w:pPr>
            <w:r>
              <w:t>文化旅游体育与传媒支出</w:t>
            </w:r>
          </w:p>
        </w:tc>
        <w:tc>
          <w:tcPr>
            <w:tcW w:w="1134" w:type="dxa"/>
            <w:vAlign w:val="center"/>
          </w:tcPr>
          <w:p>
            <w:pPr>
              <w:pStyle w:val="11"/>
            </w:pPr>
            <w:r>
              <w:t>491.85</w:t>
            </w:r>
          </w:p>
        </w:tc>
        <w:tc>
          <w:tcPr>
            <w:tcW w:w="1134" w:type="dxa"/>
            <w:vAlign w:val="center"/>
          </w:tcPr>
          <w:p>
            <w:pPr>
              <w:pStyle w:val="11"/>
            </w:pPr>
            <w:r>
              <w:t>491.85</w:t>
            </w:r>
          </w:p>
        </w:tc>
        <w:tc>
          <w:tcPr>
            <w:tcW w:w="1134" w:type="dxa"/>
            <w:vAlign w:val="center"/>
          </w:tcPr>
          <w:p>
            <w:pPr>
              <w:pStyle w:val="11"/>
            </w:pPr>
            <w:r>
              <w:t>491.85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20701</w:t>
            </w:r>
          </w:p>
        </w:tc>
        <w:tc>
          <w:tcPr>
            <w:tcW w:w="1559" w:type="dxa"/>
            <w:vAlign w:val="center"/>
          </w:tcPr>
          <w:p>
            <w:pPr>
              <w:pStyle w:val="12"/>
            </w:pPr>
            <w:r>
              <w:t>文化和旅游</w:t>
            </w:r>
          </w:p>
        </w:tc>
        <w:tc>
          <w:tcPr>
            <w:tcW w:w="1134" w:type="dxa"/>
            <w:vAlign w:val="center"/>
          </w:tcPr>
          <w:p>
            <w:pPr>
              <w:pStyle w:val="11"/>
            </w:pPr>
            <w:r>
              <w:t>491.85</w:t>
            </w:r>
          </w:p>
        </w:tc>
        <w:tc>
          <w:tcPr>
            <w:tcW w:w="1134" w:type="dxa"/>
            <w:vAlign w:val="center"/>
          </w:tcPr>
          <w:p>
            <w:pPr>
              <w:pStyle w:val="11"/>
            </w:pPr>
            <w:r>
              <w:t>491.85</w:t>
            </w:r>
          </w:p>
        </w:tc>
        <w:tc>
          <w:tcPr>
            <w:tcW w:w="1134" w:type="dxa"/>
            <w:vAlign w:val="center"/>
          </w:tcPr>
          <w:p>
            <w:pPr>
              <w:pStyle w:val="11"/>
            </w:pPr>
            <w:r>
              <w:t>491.85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2070109</w:t>
            </w:r>
          </w:p>
        </w:tc>
        <w:tc>
          <w:tcPr>
            <w:tcW w:w="1559" w:type="dxa"/>
            <w:vAlign w:val="center"/>
          </w:tcPr>
          <w:p>
            <w:pPr>
              <w:pStyle w:val="12"/>
            </w:pPr>
            <w:r>
              <w:t>群众文化</w:t>
            </w:r>
          </w:p>
        </w:tc>
        <w:tc>
          <w:tcPr>
            <w:tcW w:w="1134" w:type="dxa"/>
            <w:vAlign w:val="center"/>
          </w:tcPr>
          <w:p>
            <w:pPr>
              <w:pStyle w:val="11"/>
            </w:pPr>
            <w:r>
              <w:t>469.05</w:t>
            </w:r>
          </w:p>
        </w:tc>
        <w:tc>
          <w:tcPr>
            <w:tcW w:w="1134" w:type="dxa"/>
            <w:vAlign w:val="center"/>
          </w:tcPr>
          <w:p>
            <w:pPr>
              <w:pStyle w:val="11"/>
            </w:pPr>
            <w:r>
              <w:t>469.05</w:t>
            </w:r>
          </w:p>
        </w:tc>
        <w:tc>
          <w:tcPr>
            <w:tcW w:w="1134" w:type="dxa"/>
            <w:vAlign w:val="center"/>
          </w:tcPr>
          <w:p>
            <w:pPr>
              <w:pStyle w:val="11"/>
            </w:pPr>
            <w:r>
              <w:t>469.05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2070199</w:t>
            </w:r>
          </w:p>
        </w:tc>
        <w:tc>
          <w:tcPr>
            <w:tcW w:w="1559" w:type="dxa"/>
            <w:vAlign w:val="center"/>
          </w:tcPr>
          <w:p>
            <w:pPr>
              <w:pStyle w:val="12"/>
            </w:pPr>
            <w:r>
              <w:t>其他文化和旅游支出</w:t>
            </w:r>
          </w:p>
        </w:tc>
        <w:tc>
          <w:tcPr>
            <w:tcW w:w="1134" w:type="dxa"/>
            <w:vAlign w:val="center"/>
          </w:tcPr>
          <w:p>
            <w:pPr>
              <w:pStyle w:val="11"/>
            </w:pPr>
            <w:r>
              <w:t>22.80</w:t>
            </w:r>
          </w:p>
        </w:tc>
        <w:tc>
          <w:tcPr>
            <w:tcW w:w="1134" w:type="dxa"/>
            <w:vAlign w:val="center"/>
          </w:tcPr>
          <w:p>
            <w:pPr>
              <w:pStyle w:val="11"/>
            </w:pPr>
            <w:r>
              <w:t>22.80</w:t>
            </w:r>
          </w:p>
        </w:tc>
        <w:tc>
          <w:tcPr>
            <w:tcW w:w="1134" w:type="dxa"/>
            <w:vAlign w:val="center"/>
          </w:tcPr>
          <w:p>
            <w:pPr>
              <w:pStyle w:val="11"/>
            </w:pPr>
            <w:r>
              <w:t>22.80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2721" w:type="dxa"/>
            <w:gridSpan w:val="2"/>
            <w:tcBorders>
              <w:top w:val="single" w:color="FFFFFF" w:sz="6" w:space="0"/>
              <w:left w:val="single" w:color="FFFFFF" w:sz="6" w:space="0"/>
              <w:right w:val="single" w:color="FFFFFF" w:sz="6" w:space="0"/>
            </w:tcBorders>
            <w:vAlign w:val="center"/>
          </w:tcPr>
          <w:p>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8"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491.85</w:t>
            </w:r>
          </w:p>
        </w:tc>
        <w:tc>
          <w:tcPr>
            <w:tcW w:w="1361" w:type="dxa"/>
            <w:vAlign w:val="center"/>
          </w:tcPr>
          <w:p>
            <w:pPr>
              <w:pStyle w:val="15"/>
            </w:pPr>
            <w:r>
              <w:t>415.35</w:t>
            </w:r>
          </w:p>
        </w:tc>
        <w:tc>
          <w:tcPr>
            <w:tcW w:w="1361" w:type="dxa"/>
            <w:vAlign w:val="center"/>
          </w:tcPr>
          <w:p>
            <w:pPr>
              <w:pStyle w:val="15"/>
            </w:pPr>
            <w:r>
              <w:t>76.50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207</w:t>
            </w:r>
          </w:p>
        </w:tc>
        <w:tc>
          <w:tcPr>
            <w:tcW w:w="4535" w:type="dxa"/>
            <w:vAlign w:val="center"/>
          </w:tcPr>
          <w:p>
            <w:pPr>
              <w:pStyle w:val="12"/>
            </w:pPr>
            <w:r>
              <w:t>文化旅游体育与传媒支出</w:t>
            </w:r>
          </w:p>
        </w:tc>
        <w:tc>
          <w:tcPr>
            <w:tcW w:w="1361" w:type="dxa"/>
            <w:vAlign w:val="center"/>
          </w:tcPr>
          <w:p>
            <w:pPr>
              <w:pStyle w:val="11"/>
            </w:pPr>
            <w:r>
              <w:t>491.85</w:t>
            </w:r>
          </w:p>
        </w:tc>
        <w:tc>
          <w:tcPr>
            <w:tcW w:w="1361" w:type="dxa"/>
            <w:vAlign w:val="center"/>
          </w:tcPr>
          <w:p>
            <w:pPr>
              <w:pStyle w:val="11"/>
            </w:pPr>
            <w:r>
              <w:t>415.35</w:t>
            </w:r>
          </w:p>
        </w:tc>
        <w:tc>
          <w:tcPr>
            <w:tcW w:w="1361" w:type="dxa"/>
            <w:vAlign w:val="center"/>
          </w:tcPr>
          <w:p>
            <w:pPr>
              <w:pStyle w:val="11"/>
            </w:pPr>
            <w:r>
              <w:t>76.50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20701</w:t>
            </w:r>
          </w:p>
        </w:tc>
        <w:tc>
          <w:tcPr>
            <w:tcW w:w="4535" w:type="dxa"/>
            <w:vAlign w:val="center"/>
          </w:tcPr>
          <w:p>
            <w:pPr>
              <w:pStyle w:val="12"/>
            </w:pPr>
            <w:r>
              <w:t>文化和旅游</w:t>
            </w:r>
          </w:p>
        </w:tc>
        <w:tc>
          <w:tcPr>
            <w:tcW w:w="1361" w:type="dxa"/>
            <w:vAlign w:val="center"/>
          </w:tcPr>
          <w:p>
            <w:pPr>
              <w:pStyle w:val="11"/>
            </w:pPr>
            <w:r>
              <w:t>491.85</w:t>
            </w:r>
          </w:p>
        </w:tc>
        <w:tc>
          <w:tcPr>
            <w:tcW w:w="1361" w:type="dxa"/>
            <w:vAlign w:val="center"/>
          </w:tcPr>
          <w:p>
            <w:pPr>
              <w:pStyle w:val="11"/>
            </w:pPr>
            <w:r>
              <w:t>415.35</w:t>
            </w:r>
          </w:p>
        </w:tc>
        <w:tc>
          <w:tcPr>
            <w:tcW w:w="1361" w:type="dxa"/>
            <w:vAlign w:val="center"/>
          </w:tcPr>
          <w:p>
            <w:pPr>
              <w:pStyle w:val="11"/>
            </w:pPr>
            <w:r>
              <w:t>76.50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2070109</w:t>
            </w:r>
          </w:p>
        </w:tc>
        <w:tc>
          <w:tcPr>
            <w:tcW w:w="4535" w:type="dxa"/>
            <w:vAlign w:val="center"/>
          </w:tcPr>
          <w:p>
            <w:pPr>
              <w:pStyle w:val="12"/>
            </w:pPr>
            <w:r>
              <w:t>群众文化</w:t>
            </w:r>
          </w:p>
        </w:tc>
        <w:tc>
          <w:tcPr>
            <w:tcW w:w="1361" w:type="dxa"/>
            <w:vAlign w:val="center"/>
          </w:tcPr>
          <w:p>
            <w:pPr>
              <w:pStyle w:val="11"/>
            </w:pPr>
            <w:r>
              <w:t>469.05</w:t>
            </w:r>
          </w:p>
        </w:tc>
        <w:tc>
          <w:tcPr>
            <w:tcW w:w="1361" w:type="dxa"/>
            <w:vAlign w:val="center"/>
          </w:tcPr>
          <w:p>
            <w:pPr>
              <w:pStyle w:val="11"/>
            </w:pPr>
            <w:r>
              <w:t>415.35</w:t>
            </w:r>
          </w:p>
        </w:tc>
        <w:tc>
          <w:tcPr>
            <w:tcW w:w="1361" w:type="dxa"/>
            <w:vAlign w:val="center"/>
          </w:tcPr>
          <w:p>
            <w:pPr>
              <w:pStyle w:val="11"/>
            </w:pPr>
            <w:r>
              <w:t>53.70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2070199</w:t>
            </w:r>
          </w:p>
        </w:tc>
        <w:tc>
          <w:tcPr>
            <w:tcW w:w="4535" w:type="dxa"/>
            <w:vAlign w:val="center"/>
          </w:tcPr>
          <w:p>
            <w:pPr>
              <w:pStyle w:val="12"/>
            </w:pPr>
            <w:r>
              <w:t>其他文化和旅游支出</w:t>
            </w:r>
          </w:p>
        </w:tc>
        <w:tc>
          <w:tcPr>
            <w:tcW w:w="1361" w:type="dxa"/>
            <w:vAlign w:val="center"/>
          </w:tcPr>
          <w:p>
            <w:pPr>
              <w:pStyle w:val="11"/>
            </w:pPr>
            <w:r>
              <w:t>22.80</w:t>
            </w:r>
          </w:p>
        </w:tc>
        <w:tc>
          <w:tcPr>
            <w:tcW w:w="1361" w:type="dxa"/>
            <w:vAlign w:val="center"/>
          </w:tcPr>
          <w:p>
            <w:pPr>
              <w:pStyle w:val="11"/>
            </w:pPr>
          </w:p>
        </w:tc>
        <w:tc>
          <w:tcPr>
            <w:tcW w:w="1361" w:type="dxa"/>
            <w:vAlign w:val="center"/>
          </w:tcPr>
          <w:p>
            <w:pPr>
              <w:pStyle w:val="11"/>
            </w:pPr>
            <w:r>
              <w:t>22.80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3402" w:type="dxa"/>
            <w:tcBorders>
              <w:top w:val="single" w:color="FFFFFF" w:sz="6" w:space="0"/>
              <w:left w:val="single" w:color="FFFFFF" w:sz="6" w:space="0"/>
              <w:right w:val="single" w:color="FFFFFF" w:sz="6" w:space="0"/>
            </w:tcBorders>
            <w:vAlign w:val="center"/>
          </w:tcPr>
          <w:p>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491.85</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r>
              <w:t>491.85</w:t>
            </w:r>
          </w:p>
        </w:tc>
        <w:tc>
          <w:tcPr>
            <w:tcW w:w="1474" w:type="dxa"/>
            <w:vAlign w:val="center"/>
          </w:tcPr>
          <w:p>
            <w:pPr>
              <w:pStyle w:val="11"/>
            </w:pPr>
            <w:r>
              <w:t>491.85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491.85</w:t>
            </w:r>
          </w:p>
        </w:tc>
        <w:tc>
          <w:tcPr>
            <w:tcW w:w="3402" w:type="dxa"/>
            <w:vAlign w:val="center"/>
          </w:tcPr>
          <w:p>
            <w:pPr>
              <w:pStyle w:val="14"/>
            </w:pPr>
            <w:r>
              <w:t>本年支出合计</w:t>
            </w:r>
          </w:p>
        </w:tc>
        <w:tc>
          <w:tcPr>
            <w:tcW w:w="1474" w:type="dxa"/>
            <w:vAlign w:val="center"/>
          </w:tcPr>
          <w:p>
            <w:pPr>
              <w:pStyle w:val="15"/>
            </w:pPr>
            <w:r>
              <w:t>491.85</w:t>
            </w:r>
          </w:p>
        </w:tc>
        <w:tc>
          <w:tcPr>
            <w:tcW w:w="1474" w:type="dxa"/>
            <w:vAlign w:val="center"/>
          </w:tcPr>
          <w:p>
            <w:pPr>
              <w:pStyle w:val="15"/>
            </w:pPr>
            <w:r>
              <w:t>491.85</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491.85</w:t>
            </w:r>
          </w:p>
        </w:tc>
        <w:tc>
          <w:tcPr>
            <w:tcW w:w="3402" w:type="dxa"/>
            <w:vAlign w:val="center"/>
          </w:tcPr>
          <w:p>
            <w:pPr>
              <w:pStyle w:val="14"/>
            </w:pPr>
            <w:r>
              <w:t>支出总计</w:t>
            </w:r>
          </w:p>
        </w:tc>
        <w:tc>
          <w:tcPr>
            <w:tcW w:w="1474" w:type="dxa"/>
            <w:vAlign w:val="center"/>
          </w:tcPr>
          <w:p>
            <w:pPr>
              <w:pStyle w:val="15"/>
            </w:pPr>
            <w:r>
              <w:t>491.85</w:t>
            </w:r>
          </w:p>
        </w:tc>
        <w:tc>
          <w:tcPr>
            <w:tcW w:w="1474" w:type="dxa"/>
            <w:vAlign w:val="center"/>
          </w:tcPr>
          <w:p>
            <w:pPr>
              <w:pStyle w:val="15"/>
            </w:pPr>
            <w:r>
              <w:t>491.85</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491.85</w:t>
            </w:r>
          </w:p>
        </w:tc>
        <w:tc>
          <w:tcPr>
            <w:tcW w:w="2551" w:type="dxa"/>
            <w:vAlign w:val="center"/>
          </w:tcPr>
          <w:p>
            <w:pPr>
              <w:pStyle w:val="15"/>
            </w:pPr>
            <w:r>
              <w:t>415.35</w:t>
            </w:r>
          </w:p>
        </w:tc>
        <w:tc>
          <w:tcPr>
            <w:tcW w:w="2551" w:type="dxa"/>
            <w:vAlign w:val="center"/>
          </w:tcPr>
          <w:p>
            <w:pPr>
              <w:pStyle w:val="15"/>
            </w:pPr>
            <w:r>
              <w:t>76.50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207</w:t>
            </w:r>
          </w:p>
        </w:tc>
        <w:tc>
          <w:tcPr>
            <w:tcW w:w="4535" w:type="dxa"/>
            <w:vAlign w:val="center"/>
          </w:tcPr>
          <w:p>
            <w:pPr>
              <w:pStyle w:val="12"/>
            </w:pPr>
            <w:r>
              <w:t>文化旅游体育与传媒支出</w:t>
            </w:r>
          </w:p>
        </w:tc>
        <w:tc>
          <w:tcPr>
            <w:tcW w:w="2551" w:type="dxa"/>
            <w:vAlign w:val="center"/>
          </w:tcPr>
          <w:p>
            <w:pPr>
              <w:pStyle w:val="11"/>
            </w:pPr>
            <w:r>
              <w:t>491.85</w:t>
            </w:r>
          </w:p>
        </w:tc>
        <w:tc>
          <w:tcPr>
            <w:tcW w:w="2551" w:type="dxa"/>
            <w:vAlign w:val="center"/>
          </w:tcPr>
          <w:p>
            <w:pPr>
              <w:pStyle w:val="11"/>
            </w:pPr>
            <w:r>
              <w:t>415.35</w:t>
            </w:r>
          </w:p>
        </w:tc>
        <w:tc>
          <w:tcPr>
            <w:tcW w:w="2551" w:type="dxa"/>
            <w:vAlign w:val="center"/>
          </w:tcPr>
          <w:p>
            <w:pPr>
              <w:pStyle w:val="11"/>
            </w:pPr>
            <w:r>
              <w:t>76.50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20701</w:t>
            </w:r>
          </w:p>
        </w:tc>
        <w:tc>
          <w:tcPr>
            <w:tcW w:w="4535" w:type="dxa"/>
            <w:vAlign w:val="center"/>
          </w:tcPr>
          <w:p>
            <w:pPr>
              <w:pStyle w:val="12"/>
            </w:pPr>
            <w:r>
              <w:t>文化和旅游</w:t>
            </w:r>
          </w:p>
        </w:tc>
        <w:tc>
          <w:tcPr>
            <w:tcW w:w="2551" w:type="dxa"/>
            <w:vAlign w:val="center"/>
          </w:tcPr>
          <w:p>
            <w:pPr>
              <w:pStyle w:val="11"/>
            </w:pPr>
            <w:r>
              <w:t>491.85</w:t>
            </w:r>
          </w:p>
        </w:tc>
        <w:tc>
          <w:tcPr>
            <w:tcW w:w="2551" w:type="dxa"/>
            <w:vAlign w:val="center"/>
          </w:tcPr>
          <w:p>
            <w:pPr>
              <w:pStyle w:val="11"/>
            </w:pPr>
            <w:r>
              <w:t>415.35</w:t>
            </w:r>
          </w:p>
        </w:tc>
        <w:tc>
          <w:tcPr>
            <w:tcW w:w="2551" w:type="dxa"/>
            <w:vAlign w:val="center"/>
          </w:tcPr>
          <w:p>
            <w:pPr>
              <w:pStyle w:val="11"/>
            </w:pPr>
            <w:r>
              <w:t>76.50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2070109</w:t>
            </w:r>
          </w:p>
        </w:tc>
        <w:tc>
          <w:tcPr>
            <w:tcW w:w="4535" w:type="dxa"/>
            <w:vAlign w:val="center"/>
          </w:tcPr>
          <w:p>
            <w:pPr>
              <w:pStyle w:val="12"/>
            </w:pPr>
            <w:r>
              <w:t>群众文化</w:t>
            </w:r>
          </w:p>
        </w:tc>
        <w:tc>
          <w:tcPr>
            <w:tcW w:w="2551" w:type="dxa"/>
            <w:vAlign w:val="center"/>
          </w:tcPr>
          <w:p>
            <w:pPr>
              <w:pStyle w:val="11"/>
            </w:pPr>
            <w:r>
              <w:t>469.05</w:t>
            </w:r>
          </w:p>
        </w:tc>
        <w:tc>
          <w:tcPr>
            <w:tcW w:w="2551" w:type="dxa"/>
            <w:vAlign w:val="center"/>
          </w:tcPr>
          <w:p>
            <w:pPr>
              <w:pStyle w:val="11"/>
            </w:pPr>
            <w:r>
              <w:t>415.35</w:t>
            </w:r>
          </w:p>
        </w:tc>
        <w:tc>
          <w:tcPr>
            <w:tcW w:w="2551" w:type="dxa"/>
            <w:vAlign w:val="center"/>
          </w:tcPr>
          <w:p>
            <w:pPr>
              <w:pStyle w:val="11"/>
            </w:pPr>
            <w:r>
              <w:t>53.70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2070199</w:t>
            </w:r>
          </w:p>
        </w:tc>
        <w:tc>
          <w:tcPr>
            <w:tcW w:w="4535" w:type="dxa"/>
            <w:vAlign w:val="center"/>
          </w:tcPr>
          <w:p>
            <w:pPr>
              <w:pStyle w:val="12"/>
            </w:pPr>
            <w:r>
              <w:t>其他文化和旅游支出</w:t>
            </w:r>
          </w:p>
        </w:tc>
        <w:tc>
          <w:tcPr>
            <w:tcW w:w="2551" w:type="dxa"/>
            <w:vAlign w:val="center"/>
          </w:tcPr>
          <w:p>
            <w:pPr>
              <w:pStyle w:val="11"/>
            </w:pPr>
            <w:r>
              <w:t>22.80</w:t>
            </w:r>
          </w:p>
        </w:tc>
        <w:tc>
          <w:tcPr>
            <w:tcW w:w="2551" w:type="dxa"/>
            <w:vAlign w:val="center"/>
          </w:tcPr>
          <w:p>
            <w:pPr>
              <w:pStyle w:val="11"/>
            </w:pPr>
          </w:p>
        </w:tc>
        <w:tc>
          <w:tcPr>
            <w:tcW w:w="2551" w:type="dxa"/>
            <w:vAlign w:val="center"/>
          </w:tcPr>
          <w:p>
            <w:pPr>
              <w:pStyle w:val="11"/>
            </w:pPr>
            <w:r>
              <w:t>22.80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4"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415.35</w:t>
            </w:r>
          </w:p>
        </w:tc>
        <w:tc>
          <w:tcPr>
            <w:tcW w:w="2551" w:type="dxa"/>
            <w:vAlign w:val="center"/>
          </w:tcPr>
          <w:p>
            <w:pPr>
              <w:pStyle w:val="15"/>
            </w:pPr>
            <w:r>
              <w:t>399.82</w:t>
            </w:r>
          </w:p>
        </w:tc>
        <w:tc>
          <w:tcPr>
            <w:tcW w:w="2551" w:type="dxa"/>
            <w:vAlign w:val="center"/>
          </w:tcPr>
          <w:p>
            <w:pPr>
              <w:pStyle w:val="15"/>
            </w:pPr>
            <w:r>
              <w:t>15.53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361.13</w:t>
            </w:r>
          </w:p>
        </w:tc>
        <w:tc>
          <w:tcPr>
            <w:tcW w:w="2551" w:type="dxa"/>
            <w:vAlign w:val="center"/>
          </w:tcPr>
          <w:p>
            <w:pPr>
              <w:pStyle w:val="11"/>
            </w:pPr>
            <w:r>
              <w:t>361.13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94.43</w:t>
            </w:r>
          </w:p>
        </w:tc>
        <w:tc>
          <w:tcPr>
            <w:tcW w:w="2551" w:type="dxa"/>
            <w:vAlign w:val="center"/>
          </w:tcPr>
          <w:p>
            <w:pPr>
              <w:pStyle w:val="11"/>
            </w:pPr>
            <w:r>
              <w:t>94.43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17.90</w:t>
            </w:r>
          </w:p>
        </w:tc>
        <w:tc>
          <w:tcPr>
            <w:tcW w:w="2551" w:type="dxa"/>
            <w:vAlign w:val="center"/>
          </w:tcPr>
          <w:p>
            <w:pPr>
              <w:pStyle w:val="11"/>
            </w:pPr>
            <w:r>
              <w:t>17.90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113.11</w:t>
            </w:r>
          </w:p>
        </w:tc>
        <w:tc>
          <w:tcPr>
            <w:tcW w:w="2551" w:type="dxa"/>
            <w:vAlign w:val="center"/>
          </w:tcPr>
          <w:p>
            <w:pPr>
              <w:pStyle w:val="11"/>
            </w:pPr>
            <w:r>
              <w:t>113.11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33.22</w:t>
            </w:r>
          </w:p>
        </w:tc>
        <w:tc>
          <w:tcPr>
            <w:tcW w:w="2551" w:type="dxa"/>
            <w:vAlign w:val="center"/>
          </w:tcPr>
          <w:p>
            <w:pPr>
              <w:pStyle w:val="11"/>
            </w:pPr>
            <w:r>
              <w:t>33.22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12.88</w:t>
            </w:r>
          </w:p>
        </w:tc>
        <w:tc>
          <w:tcPr>
            <w:tcW w:w="2551" w:type="dxa"/>
            <w:vAlign w:val="center"/>
          </w:tcPr>
          <w:p>
            <w:pPr>
              <w:pStyle w:val="11"/>
            </w:pPr>
            <w:r>
              <w:t>12.88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21.22</w:t>
            </w:r>
          </w:p>
        </w:tc>
        <w:tc>
          <w:tcPr>
            <w:tcW w:w="2551" w:type="dxa"/>
            <w:vAlign w:val="center"/>
          </w:tcPr>
          <w:p>
            <w:pPr>
              <w:pStyle w:val="11"/>
            </w:pPr>
            <w:r>
              <w:t>21.22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2.07</w:t>
            </w:r>
          </w:p>
        </w:tc>
        <w:tc>
          <w:tcPr>
            <w:tcW w:w="2551" w:type="dxa"/>
            <w:vAlign w:val="center"/>
          </w:tcPr>
          <w:p>
            <w:pPr>
              <w:pStyle w:val="11"/>
            </w:pPr>
            <w:r>
              <w:t>2.07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26.92</w:t>
            </w:r>
          </w:p>
        </w:tc>
        <w:tc>
          <w:tcPr>
            <w:tcW w:w="2551" w:type="dxa"/>
            <w:vAlign w:val="center"/>
          </w:tcPr>
          <w:p>
            <w:pPr>
              <w:pStyle w:val="11"/>
            </w:pPr>
            <w:r>
              <w:t>26.92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30199</w:t>
            </w:r>
          </w:p>
        </w:tc>
        <w:tc>
          <w:tcPr>
            <w:tcW w:w="4535" w:type="dxa"/>
            <w:vAlign w:val="center"/>
          </w:tcPr>
          <w:p>
            <w:pPr>
              <w:pStyle w:val="12"/>
            </w:pPr>
            <w:r>
              <w:t>其他工资福利支出</w:t>
            </w:r>
          </w:p>
        </w:tc>
        <w:tc>
          <w:tcPr>
            <w:tcW w:w="2551" w:type="dxa"/>
            <w:vAlign w:val="center"/>
          </w:tcPr>
          <w:p>
            <w:pPr>
              <w:pStyle w:val="11"/>
            </w:pPr>
            <w:r>
              <w:t>39.38</w:t>
            </w:r>
          </w:p>
        </w:tc>
        <w:tc>
          <w:tcPr>
            <w:tcW w:w="2551" w:type="dxa"/>
            <w:vAlign w:val="center"/>
          </w:tcPr>
          <w:p>
            <w:pPr>
              <w:pStyle w:val="11"/>
            </w:pPr>
            <w:r>
              <w:t>39.38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14.03</w:t>
            </w:r>
          </w:p>
        </w:tc>
        <w:tc>
          <w:tcPr>
            <w:tcW w:w="2551" w:type="dxa"/>
            <w:vAlign w:val="center"/>
          </w:tcPr>
          <w:p>
            <w:pPr>
              <w:pStyle w:val="11"/>
            </w:pPr>
          </w:p>
        </w:tc>
        <w:tc>
          <w:tcPr>
            <w:tcW w:w="2551" w:type="dxa"/>
            <w:vAlign w:val="center"/>
          </w:tcPr>
          <w:p>
            <w:pPr>
              <w:pStyle w:val="11"/>
            </w:pPr>
            <w:r>
              <w:t>14.03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3.24</w:t>
            </w:r>
          </w:p>
        </w:tc>
        <w:tc>
          <w:tcPr>
            <w:tcW w:w="2551" w:type="dxa"/>
            <w:vAlign w:val="center"/>
          </w:tcPr>
          <w:p>
            <w:pPr>
              <w:pStyle w:val="11"/>
            </w:pPr>
          </w:p>
        </w:tc>
        <w:tc>
          <w:tcPr>
            <w:tcW w:w="2551" w:type="dxa"/>
            <w:vAlign w:val="center"/>
          </w:tcPr>
          <w:p>
            <w:pPr>
              <w:pStyle w:val="11"/>
            </w:pPr>
            <w:r>
              <w:t>3.24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30202</w:t>
            </w:r>
          </w:p>
        </w:tc>
        <w:tc>
          <w:tcPr>
            <w:tcW w:w="4535" w:type="dxa"/>
            <w:vAlign w:val="center"/>
          </w:tcPr>
          <w:p>
            <w:pPr>
              <w:pStyle w:val="12"/>
            </w:pPr>
            <w:r>
              <w:t>印刷费</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0.30</w:t>
            </w:r>
          </w:p>
        </w:tc>
        <w:tc>
          <w:tcPr>
            <w:tcW w:w="2551" w:type="dxa"/>
            <w:vAlign w:val="center"/>
          </w:tcPr>
          <w:p>
            <w:pPr>
              <w:pStyle w:val="11"/>
            </w:pPr>
          </w:p>
        </w:tc>
        <w:tc>
          <w:tcPr>
            <w:tcW w:w="2551" w:type="dxa"/>
            <w:vAlign w:val="center"/>
          </w:tcPr>
          <w:p>
            <w:pPr>
              <w:pStyle w:val="11"/>
            </w:pPr>
            <w: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0.40</w:t>
            </w:r>
          </w:p>
        </w:tc>
        <w:tc>
          <w:tcPr>
            <w:tcW w:w="2551" w:type="dxa"/>
            <w:vAlign w:val="center"/>
          </w:tcPr>
          <w:p>
            <w:pPr>
              <w:pStyle w:val="11"/>
            </w:pPr>
          </w:p>
        </w:tc>
        <w:tc>
          <w:tcPr>
            <w:tcW w:w="2551" w:type="dxa"/>
            <w:vAlign w:val="center"/>
          </w:tcPr>
          <w:p>
            <w:pPr>
              <w:pStyle w:val="11"/>
            </w:pPr>
            <w:r>
              <w:t>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4.13</w:t>
            </w:r>
          </w:p>
        </w:tc>
        <w:tc>
          <w:tcPr>
            <w:tcW w:w="2551" w:type="dxa"/>
            <w:vAlign w:val="center"/>
          </w:tcPr>
          <w:p>
            <w:pPr>
              <w:pStyle w:val="11"/>
            </w:pPr>
          </w:p>
        </w:tc>
        <w:tc>
          <w:tcPr>
            <w:tcW w:w="2551" w:type="dxa"/>
            <w:vAlign w:val="center"/>
          </w:tcPr>
          <w:p>
            <w:pPr>
              <w:pStyle w:val="11"/>
            </w:pPr>
            <w:r>
              <w:t>4.13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2.60</w:t>
            </w:r>
          </w:p>
        </w:tc>
        <w:tc>
          <w:tcPr>
            <w:tcW w:w="2551" w:type="dxa"/>
            <w:vAlign w:val="center"/>
          </w:tcPr>
          <w:p>
            <w:pPr>
              <w:pStyle w:val="11"/>
            </w:pPr>
          </w:p>
        </w:tc>
        <w:tc>
          <w:tcPr>
            <w:tcW w:w="2551" w:type="dxa"/>
            <w:vAlign w:val="center"/>
          </w:tcPr>
          <w:p>
            <w:pPr>
              <w:pStyle w:val="11"/>
            </w:pPr>
            <w: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1.36</w:t>
            </w:r>
          </w:p>
        </w:tc>
        <w:tc>
          <w:tcPr>
            <w:tcW w:w="2551" w:type="dxa"/>
            <w:vAlign w:val="center"/>
          </w:tcPr>
          <w:p>
            <w:pPr>
              <w:pStyle w:val="11"/>
            </w:pPr>
          </w:p>
        </w:tc>
        <w:tc>
          <w:tcPr>
            <w:tcW w:w="2551" w:type="dxa"/>
            <w:vAlign w:val="center"/>
          </w:tcPr>
          <w:p>
            <w:pPr>
              <w:pStyle w:val="11"/>
            </w:pPr>
            <w:r>
              <w:t>1.36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38.69</w:t>
            </w:r>
          </w:p>
        </w:tc>
        <w:tc>
          <w:tcPr>
            <w:tcW w:w="2551" w:type="dxa"/>
            <w:vAlign w:val="center"/>
          </w:tcPr>
          <w:p>
            <w:pPr>
              <w:pStyle w:val="11"/>
            </w:pPr>
            <w:r>
              <w:t>38.69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36.54</w:t>
            </w:r>
          </w:p>
        </w:tc>
        <w:tc>
          <w:tcPr>
            <w:tcW w:w="2551" w:type="dxa"/>
            <w:vAlign w:val="center"/>
          </w:tcPr>
          <w:p>
            <w:pPr>
              <w:pStyle w:val="11"/>
            </w:pPr>
            <w:r>
              <w:t>36.54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2.11</w:t>
            </w:r>
          </w:p>
        </w:tc>
        <w:tc>
          <w:tcPr>
            <w:tcW w:w="2551" w:type="dxa"/>
            <w:vAlign w:val="center"/>
          </w:tcPr>
          <w:p>
            <w:pPr>
              <w:pStyle w:val="11"/>
            </w:pPr>
            <w:r>
              <w:t>2.11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30309</w:t>
            </w:r>
          </w:p>
        </w:tc>
        <w:tc>
          <w:tcPr>
            <w:tcW w:w="4535" w:type="dxa"/>
            <w:vAlign w:val="center"/>
          </w:tcPr>
          <w:p>
            <w:pPr>
              <w:pStyle w:val="12"/>
            </w:pPr>
            <w:r>
              <w:t>奖励金</w:t>
            </w:r>
          </w:p>
        </w:tc>
        <w:tc>
          <w:tcPr>
            <w:tcW w:w="2551" w:type="dxa"/>
            <w:vAlign w:val="center"/>
          </w:tcPr>
          <w:p>
            <w:pPr>
              <w:pStyle w:val="11"/>
            </w:pPr>
            <w:r>
              <w:t>0.04</w:t>
            </w:r>
          </w:p>
        </w:tc>
        <w:tc>
          <w:tcPr>
            <w:tcW w:w="2551" w:type="dxa"/>
            <w:vAlign w:val="center"/>
          </w:tcPr>
          <w:p>
            <w:pPr>
              <w:pStyle w:val="11"/>
            </w:pPr>
            <w:r>
              <w:t>0.04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310</w:t>
            </w:r>
          </w:p>
        </w:tc>
        <w:tc>
          <w:tcPr>
            <w:tcW w:w="4535" w:type="dxa"/>
            <w:vAlign w:val="center"/>
          </w:tcPr>
          <w:p>
            <w:pPr>
              <w:pStyle w:val="12"/>
            </w:pPr>
            <w:r>
              <w:t>资本性支出</w:t>
            </w:r>
          </w:p>
        </w:tc>
        <w:tc>
          <w:tcPr>
            <w:tcW w:w="2551" w:type="dxa"/>
            <w:vAlign w:val="center"/>
          </w:tcPr>
          <w:p>
            <w:pPr>
              <w:pStyle w:val="11"/>
            </w:pPr>
            <w:r>
              <w:t>1.50</w:t>
            </w:r>
          </w:p>
        </w:tc>
        <w:tc>
          <w:tcPr>
            <w:tcW w:w="2551" w:type="dxa"/>
            <w:vAlign w:val="center"/>
          </w:tcPr>
          <w:p>
            <w:pPr>
              <w:pStyle w:val="11"/>
            </w:pPr>
          </w:p>
        </w:tc>
        <w:tc>
          <w:tcPr>
            <w:tcW w:w="2551" w:type="dxa"/>
            <w:vAlign w:val="center"/>
          </w:tcPr>
          <w:p>
            <w:pPr>
              <w:pStyle w:val="11"/>
            </w:pPr>
            <w: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31002</w:t>
            </w:r>
          </w:p>
        </w:tc>
        <w:tc>
          <w:tcPr>
            <w:tcW w:w="4535" w:type="dxa"/>
            <w:vAlign w:val="center"/>
          </w:tcPr>
          <w:p>
            <w:pPr>
              <w:pStyle w:val="12"/>
            </w:pPr>
            <w:r>
              <w:t>办公设备购置</w:t>
            </w:r>
          </w:p>
        </w:tc>
        <w:tc>
          <w:tcPr>
            <w:tcW w:w="2551" w:type="dxa"/>
            <w:vAlign w:val="center"/>
          </w:tcPr>
          <w:p>
            <w:pPr>
              <w:pStyle w:val="11"/>
            </w:pPr>
            <w:r>
              <w:t>1.50</w:t>
            </w:r>
          </w:p>
        </w:tc>
        <w:tc>
          <w:tcPr>
            <w:tcW w:w="2551" w:type="dxa"/>
            <w:vAlign w:val="center"/>
          </w:tcPr>
          <w:p>
            <w:pPr>
              <w:pStyle w:val="11"/>
            </w:pPr>
          </w:p>
        </w:tc>
        <w:tc>
          <w:tcPr>
            <w:tcW w:w="2551" w:type="dxa"/>
            <w:vAlign w:val="center"/>
          </w:tcPr>
          <w:p>
            <w:pPr>
              <w:pStyle w:val="11"/>
            </w:pPr>
            <w:r>
              <w:t>1.50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2381" w:type="dxa"/>
            <w:tcBorders>
              <w:top w:val="single" w:color="FFFFFF" w:sz="6" w:space="0"/>
              <w:left w:val="single" w:color="FFFFFF" w:sz="6" w:space="0"/>
              <w:right w:val="single" w:color="FFFFFF" w:sz="6" w:space="0"/>
            </w:tcBorders>
            <w:vAlign w:val="center"/>
          </w:tcPr>
          <w:p>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唐山市丰南区文化馆本级2024年单位预算信息公开情况说明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按照《中华人民共和国预算法》、《地方预决算公开操作规程》和《关于进一步推进预算公开工作的实施意见》规定，现将唐山市丰南区文化馆本级2024年单位预算公开如下：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(一）公共文化服务</w:t>
      </w:r>
    </w:p>
    <w:p>
      <w:pPr>
        <w:pStyle w:val="17"/>
      </w:pPr>
      <w:r>
        <w:t>1、认真开展各项群众文化活动，在全社会营造良好的文化氛围。力争以“节假日”为重点，突出安排组织活动。做到“周周有演出，月月有安排”，全馆免费对外开放，广泛普及群众文化。全年全区性文化活动达到20场以上。</w:t>
      </w:r>
    </w:p>
    <w:p>
      <w:pPr>
        <w:pStyle w:val="17"/>
      </w:pPr>
      <w:r>
        <w:t>2、突出围绕全区中心工作，精心谋划大型群众文化活动，让更多群众广泛参与，营造全民参与文化氛围。</w:t>
      </w:r>
    </w:p>
    <w:p>
      <w:pPr>
        <w:pStyle w:val="17"/>
      </w:pPr>
      <w:r>
        <w:t>3、持续推进“文化惠民”、“传统文化进乡村、进校园、进机关、进社区、进厂企、进军营”活动。全民文化惠民、进社区、进校园等演出60场次。</w:t>
      </w:r>
    </w:p>
    <w:p>
      <w:pPr>
        <w:pStyle w:val="17"/>
      </w:pPr>
      <w:r>
        <w:t>（二）文化艺术生产</w:t>
      </w:r>
    </w:p>
    <w:p>
      <w:pPr>
        <w:pStyle w:val="17"/>
      </w:pPr>
      <w:r>
        <w:t>1、以“原创+本土+品牌”为准则，打造文艺精品。全年编创优秀文艺作品，力争在省、市获奖3项以上。</w:t>
      </w:r>
    </w:p>
    <w:p>
      <w:pPr>
        <w:pStyle w:val="17"/>
      </w:pPr>
      <w:r>
        <w:t>2、重点编创歌颂党、讴歌党的丰功伟绩，赞颂家乡，反映家乡巨变、时代风貌的各类作品，在全区各地巡回演出。</w:t>
      </w:r>
    </w:p>
    <w:p>
      <w:pPr>
        <w:pStyle w:val="17"/>
      </w:pPr>
      <w:r>
        <w:t>3、全年组织全区性群众原创文艺作品展演，激发各地文艺骨干编创文艺作品积极性。</w:t>
      </w:r>
    </w:p>
    <w:p>
      <w:pPr>
        <w:pStyle w:val="17"/>
      </w:pPr>
      <w:r>
        <w:t>（三）群众文化建设</w:t>
      </w:r>
    </w:p>
    <w:p>
      <w:pPr>
        <w:pStyle w:val="17"/>
      </w:pPr>
      <w:r>
        <w:t>1、与区各文艺协会合作，认真做好群众文化辅导、培训工作，不断提高全区群众文化队伍水平，不断增强群众文化活动队伍数量。积极培育发展音乐、舞蹈、戏剧、曲艺、书画文艺队伍。通过请上来、走下去、分区域、分片区辅导等形式，力争使全区文化辅导培训覆盖率达90%以上，让更多的群众队伍演出水平得以提高。同时对文化骨干的培训覆盖率在全区各地达95%以上。</w:t>
      </w:r>
    </w:p>
    <w:p>
      <w:pPr>
        <w:pStyle w:val="17"/>
      </w:pPr>
      <w:r>
        <w:t>2、积极开展“非遗”传承普及活动。对现有“非遗”项目通过“演出、展示”等活动形式得以保护、普及；对未知项目通过实施“非遗村”创建工作，不断挖掘、整理。</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唐山市丰南区文化馆本级</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2024年预算收入491.85万元，其中：一般公共预算收入491.85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唐山市丰南区文化馆本级年度单位预算中支出预算的总体情况。2024年支出预算491.85万元，其中基本支出415.35万元，包括人员经费399.82万元和日常公用经费15.53万元；项目支出76.50万元，主要为群众文化活动经费（免费开放）、劳务派遣人员经费（劳务费）、农村文化建设-群众文化活动中心运行费等</w:t>
      </w:r>
    </w:p>
    <w:p>
      <w:pPr>
        <w:pStyle w:val="18"/>
      </w:pPr>
      <w:r>
        <w:t>3、比上年增减情况</w:t>
      </w:r>
    </w:p>
    <w:p>
      <w:pPr>
        <w:pStyle w:val="18"/>
      </w:pPr>
      <w:r>
        <w:t>2024年预算收支安排491.85万元，较2023年预算减少33.37万元，其中：基本支出减少32.67万元，主要为人员经费减少32.36万元，日常公用经费减少0.31万元项目支出减少0.70万元，主要为提前下达2024年中央补助地方美术馆公共图书馆文化馆（站）免费开放补助资金（唐财教[2023]79号）减少1.2万元，劳务派遣人员经费（劳务费）增加0.5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2024年，我单位机关运行经费共计安排15.53万元，主要用于日常维修、办公用房水电费、办公用房取暖费、办公用房物业管理费等日常运行支出。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2024年，我单位财政拨款“三公”经费预算安排0.00万元，其中因公出国（境）费0.00万元；公务用车购置及运维费0.00万元（其中：公务用车购置费为0.00万元，公务用车运维费0.00万元)；公务接待费0.00万元。与2023年相比增加0.00万元，增减变化的主要原因是没有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1、光纤租赁费绩效目标表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13020724P008DXN100194</w:t>
            </w:r>
          </w:p>
        </w:tc>
        <w:tc>
          <w:tcPr>
            <w:tcW w:w="2835" w:type="dxa"/>
            <w:vAlign w:val="center"/>
          </w:tcPr>
          <w:p>
            <w:pPr>
              <w:pStyle w:val="10"/>
            </w:pPr>
            <w:r>
              <w:t>项目名称</w:t>
            </w:r>
          </w:p>
        </w:tc>
        <w:tc>
          <w:tcPr>
            <w:tcW w:w="6094" w:type="dxa"/>
            <w:gridSpan w:val="3"/>
            <w:vAlign w:val="center"/>
          </w:tcPr>
          <w:p>
            <w:pPr>
              <w:pStyle w:val="12"/>
            </w:pPr>
            <w:r>
              <w:t>光纤租赁费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w:t>
            </w:r>
          </w:p>
        </w:tc>
        <w:tc>
          <w:tcPr>
            <w:tcW w:w="2835" w:type="dxa"/>
            <w:vAlign w:val="center"/>
          </w:tcPr>
          <w:p>
            <w:pPr>
              <w:pStyle w:val="10"/>
            </w:pPr>
            <w:r>
              <w:t>其中：财政    资金</w:t>
            </w:r>
          </w:p>
        </w:tc>
        <w:tc>
          <w:tcPr>
            <w:tcW w:w="2551" w:type="dxa"/>
            <w:vAlign w:val="center"/>
          </w:tcPr>
          <w:p>
            <w:pPr>
              <w:pStyle w:val="12"/>
            </w:pPr>
            <w:r>
              <w:t>3.00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根据国家一级馆达标要求及国家级公共文化服务体系示范区建设要求，文化馆需建设网络化数字馆，更好更快捷地服务大众。2024年申请光纤租赁费资金3万元，全部用于光纤租赁。确保网络畅通，做好文化传播。</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100%</w:t>
            </w:r>
          </w:p>
        </w:tc>
        <w:tc>
          <w:tcPr>
            <w:tcW w:w="2551" w:type="dxa"/>
            <w:vAlign w:val="center"/>
          </w:tcPr>
          <w:p>
            <w:pPr>
              <w:pStyle w:val="13"/>
            </w:pPr>
            <w:r>
              <w:t>100%</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1.公共文化设施达标，机构和队伍健全，实现公共文化资源共享，形成城乡一体公共文化服务网络；公共文化产品生产和服务能力提高，基本公共文化服务标准化、均等化水平不断提高。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光纤网络数量</w:t>
            </w:r>
          </w:p>
        </w:tc>
        <w:tc>
          <w:tcPr>
            <w:tcW w:w="5386" w:type="dxa"/>
            <w:vAlign w:val="center"/>
          </w:tcPr>
          <w:p>
            <w:pPr>
              <w:pStyle w:val="12"/>
            </w:pPr>
            <w:r>
              <w:t>接入100兆光纤网络</w:t>
            </w:r>
          </w:p>
        </w:tc>
        <w:tc>
          <w:tcPr>
            <w:tcW w:w="2268" w:type="dxa"/>
            <w:vAlign w:val="center"/>
          </w:tcPr>
          <w:p>
            <w:pPr>
              <w:pStyle w:val="12"/>
            </w:pPr>
            <w:r>
              <w:t>≥2条</w:t>
            </w:r>
          </w:p>
        </w:tc>
        <w:tc>
          <w:tcPr>
            <w:tcW w:w="1276" w:type="dxa"/>
            <w:vAlign w:val="center"/>
          </w:tcPr>
          <w:p>
            <w:pPr>
              <w:pStyle w:val="12"/>
            </w:pPr>
            <w:r>
              <w:t>国家一级馆数字化建设要求及光纤租赁合同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保障网络畅通，确保网络安全</w:t>
            </w:r>
          </w:p>
        </w:tc>
        <w:tc>
          <w:tcPr>
            <w:tcW w:w="5386" w:type="dxa"/>
            <w:vAlign w:val="center"/>
          </w:tcPr>
          <w:p>
            <w:pPr>
              <w:pStyle w:val="12"/>
            </w:pPr>
            <w:r>
              <w:t>满足电信服务质量标准，保证通信业务安全畅通</w:t>
            </w:r>
          </w:p>
        </w:tc>
        <w:tc>
          <w:tcPr>
            <w:tcW w:w="2268" w:type="dxa"/>
            <w:vAlign w:val="center"/>
          </w:tcPr>
          <w:p>
            <w:pPr>
              <w:pStyle w:val="12"/>
            </w:pPr>
            <w:r>
              <w:t>100%</w:t>
            </w:r>
          </w:p>
        </w:tc>
        <w:tc>
          <w:tcPr>
            <w:tcW w:w="1276" w:type="dxa"/>
            <w:vAlign w:val="center"/>
          </w:tcPr>
          <w:p>
            <w:pPr>
              <w:pStyle w:val="12"/>
            </w:pPr>
            <w:r>
              <w:t>租赁合同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网络畅通率</w:t>
            </w:r>
          </w:p>
        </w:tc>
        <w:tc>
          <w:tcPr>
            <w:tcW w:w="5386" w:type="dxa"/>
            <w:vAlign w:val="center"/>
          </w:tcPr>
          <w:p>
            <w:pPr>
              <w:pStyle w:val="12"/>
            </w:pPr>
            <w:r>
              <w:t>网络传输速度程度</w:t>
            </w:r>
          </w:p>
        </w:tc>
        <w:tc>
          <w:tcPr>
            <w:tcW w:w="2268" w:type="dxa"/>
            <w:vAlign w:val="center"/>
          </w:tcPr>
          <w:p>
            <w:pPr>
              <w:pStyle w:val="12"/>
            </w:pPr>
            <w:r>
              <w:t>100%</w:t>
            </w:r>
          </w:p>
        </w:tc>
        <w:tc>
          <w:tcPr>
            <w:tcW w:w="1276" w:type="dxa"/>
            <w:vAlign w:val="center"/>
          </w:tcPr>
          <w:p>
            <w:pPr>
              <w:pStyle w:val="12"/>
            </w:pPr>
            <w:r>
              <w:t>网络传输情况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光纤接入材料、线路铺设施工等</w:t>
            </w:r>
          </w:p>
        </w:tc>
        <w:tc>
          <w:tcPr>
            <w:tcW w:w="5386" w:type="dxa"/>
            <w:vAlign w:val="center"/>
          </w:tcPr>
          <w:p>
            <w:pPr>
              <w:pStyle w:val="12"/>
            </w:pPr>
            <w:r>
              <w:t>达到合同要求的专线固定每条≥100兆2条</w:t>
            </w:r>
          </w:p>
        </w:tc>
        <w:tc>
          <w:tcPr>
            <w:tcW w:w="2268" w:type="dxa"/>
            <w:vAlign w:val="center"/>
          </w:tcPr>
          <w:p>
            <w:pPr>
              <w:pStyle w:val="12"/>
            </w:pPr>
            <w:r>
              <w:t>100%</w:t>
            </w:r>
          </w:p>
        </w:tc>
        <w:tc>
          <w:tcPr>
            <w:tcW w:w="1276" w:type="dxa"/>
            <w:vAlign w:val="center"/>
          </w:tcPr>
          <w:p>
            <w:pPr>
              <w:pStyle w:val="12"/>
            </w:pPr>
            <w:r>
              <w:t>国家一级馆数字化建设要求及光纤租赁合同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光纤网络的重要率</w:t>
            </w:r>
          </w:p>
        </w:tc>
        <w:tc>
          <w:tcPr>
            <w:tcW w:w="5386" w:type="dxa"/>
            <w:vAlign w:val="center"/>
          </w:tcPr>
          <w:p>
            <w:pPr>
              <w:pStyle w:val="12"/>
            </w:pPr>
            <w:r>
              <w:t>保障工作效率和文化馆各项工作对外信息发布及对外宣传</w:t>
            </w:r>
          </w:p>
        </w:tc>
        <w:tc>
          <w:tcPr>
            <w:tcW w:w="2268" w:type="dxa"/>
            <w:vAlign w:val="center"/>
          </w:tcPr>
          <w:p>
            <w:pPr>
              <w:pStyle w:val="12"/>
            </w:pPr>
            <w:r>
              <w:t>100%</w:t>
            </w:r>
          </w:p>
        </w:tc>
        <w:tc>
          <w:tcPr>
            <w:tcW w:w="1276" w:type="dxa"/>
            <w:vAlign w:val="center"/>
          </w:tcPr>
          <w:p>
            <w:pPr>
              <w:pStyle w:val="12"/>
            </w:pPr>
            <w:r>
              <w:t>国家一级馆数字化建设要求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辐射面广</w:t>
            </w:r>
          </w:p>
        </w:tc>
        <w:tc>
          <w:tcPr>
            <w:tcW w:w="5386" w:type="dxa"/>
            <w:vAlign w:val="center"/>
          </w:tcPr>
          <w:p>
            <w:pPr>
              <w:pStyle w:val="12"/>
            </w:pPr>
            <w:r>
              <w:t>吸引更多群众广泛参与群众文化</w:t>
            </w:r>
          </w:p>
        </w:tc>
        <w:tc>
          <w:tcPr>
            <w:tcW w:w="2268" w:type="dxa"/>
            <w:vAlign w:val="center"/>
          </w:tcPr>
          <w:p>
            <w:pPr>
              <w:pStyle w:val="12"/>
            </w:pPr>
            <w:r>
              <w:t>100%</w:t>
            </w:r>
          </w:p>
        </w:tc>
        <w:tc>
          <w:tcPr>
            <w:tcW w:w="1276" w:type="dxa"/>
            <w:vAlign w:val="center"/>
          </w:tcPr>
          <w:p>
            <w:pPr>
              <w:pStyle w:val="12"/>
            </w:pPr>
            <w:r>
              <w:t>国家一级馆数字化建设要求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保障文化事业顺利发展</w:t>
            </w:r>
          </w:p>
        </w:tc>
        <w:tc>
          <w:tcPr>
            <w:tcW w:w="5386" w:type="dxa"/>
            <w:vAlign w:val="center"/>
          </w:tcPr>
          <w:p>
            <w:pPr>
              <w:pStyle w:val="12"/>
            </w:pPr>
            <w:r>
              <w:t>保障文化馆机关各项工作正常运行</w:t>
            </w:r>
          </w:p>
        </w:tc>
        <w:tc>
          <w:tcPr>
            <w:tcW w:w="2268" w:type="dxa"/>
            <w:vAlign w:val="center"/>
          </w:tcPr>
          <w:p>
            <w:pPr>
              <w:pStyle w:val="12"/>
            </w:pPr>
            <w:r>
              <w:t>100%</w:t>
            </w:r>
          </w:p>
        </w:tc>
        <w:tc>
          <w:tcPr>
            <w:tcW w:w="1276" w:type="dxa"/>
            <w:vAlign w:val="center"/>
          </w:tcPr>
          <w:p>
            <w:pPr>
              <w:pStyle w:val="12"/>
            </w:pPr>
            <w:r>
              <w:t>各项工作运转情况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群众对网络的整体满意度</w:t>
            </w:r>
          </w:p>
        </w:tc>
        <w:tc>
          <w:tcPr>
            <w:tcW w:w="2268" w:type="dxa"/>
            <w:vAlign w:val="center"/>
          </w:tcPr>
          <w:p>
            <w:pPr>
              <w:pStyle w:val="12"/>
            </w:pPr>
            <w:r>
              <w:t>≥95%</w:t>
            </w:r>
          </w:p>
        </w:tc>
        <w:tc>
          <w:tcPr>
            <w:tcW w:w="1276" w:type="dxa"/>
            <w:vAlign w:val="center"/>
          </w:tcPr>
          <w:p>
            <w:pPr>
              <w:pStyle w:val="12"/>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2、劳务派遣人员经费（劳务费）绩效目标表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13020724P008DXN10020F</w:t>
            </w:r>
          </w:p>
        </w:tc>
        <w:tc>
          <w:tcPr>
            <w:tcW w:w="2835" w:type="dxa"/>
            <w:vAlign w:val="center"/>
          </w:tcPr>
          <w:p>
            <w:pPr>
              <w:pStyle w:val="10"/>
            </w:pPr>
            <w:r>
              <w:t>项目名称</w:t>
            </w:r>
          </w:p>
        </w:tc>
        <w:tc>
          <w:tcPr>
            <w:tcW w:w="6094" w:type="dxa"/>
            <w:gridSpan w:val="3"/>
            <w:vAlign w:val="center"/>
          </w:tcPr>
          <w:p>
            <w:pPr>
              <w:pStyle w:val="12"/>
            </w:pPr>
            <w:r>
              <w:t>劳务派遣人员经费（劳务费）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19.50</w:t>
            </w:r>
          </w:p>
        </w:tc>
        <w:tc>
          <w:tcPr>
            <w:tcW w:w="2835" w:type="dxa"/>
            <w:vAlign w:val="center"/>
          </w:tcPr>
          <w:p>
            <w:pPr>
              <w:pStyle w:val="10"/>
            </w:pPr>
            <w:r>
              <w:t>其中：财政    资金</w:t>
            </w:r>
          </w:p>
        </w:tc>
        <w:tc>
          <w:tcPr>
            <w:tcW w:w="2551" w:type="dxa"/>
            <w:vAlign w:val="center"/>
          </w:tcPr>
          <w:p>
            <w:pPr>
              <w:pStyle w:val="12"/>
            </w:pPr>
            <w:r>
              <w:t>19.50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丰南区文化馆为促进文化事业发展，弥补事业单位人员不足，安排劳务派遣人员共4名分赴在各个岗位，涉及工资及保险19.5万元。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1.及时发放劳务派遣人员工资，保障机关正常运转。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劳务派遣基本工资数量</w:t>
            </w:r>
          </w:p>
        </w:tc>
        <w:tc>
          <w:tcPr>
            <w:tcW w:w="5386" w:type="dxa"/>
            <w:vAlign w:val="center"/>
          </w:tcPr>
          <w:p>
            <w:pPr>
              <w:pStyle w:val="12"/>
            </w:pPr>
            <w:r>
              <w:t>聘用的劳务派遣人员的基本工资</w:t>
            </w:r>
          </w:p>
        </w:tc>
        <w:tc>
          <w:tcPr>
            <w:tcW w:w="2268" w:type="dxa"/>
            <w:vAlign w:val="center"/>
          </w:tcPr>
          <w:p>
            <w:pPr>
              <w:pStyle w:val="12"/>
            </w:pPr>
            <w:r>
              <w:t>≥2100元/月，人</w:t>
            </w:r>
          </w:p>
        </w:tc>
        <w:tc>
          <w:tcPr>
            <w:tcW w:w="1276" w:type="dxa"/>
            <w:vAlign w:val="center"/>
          </w:tcPr>
          <w:p>
            <w:pPr>
              <w:pStyle w:val="12"/>
            </w:pPr>
            <w:r>
              <w:t>劳动合同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工作完成效率</w:t>
            </w:r>
          </w:p>
        </w:tc>
        <w:tc>
          <w:tcPr>
            <w:tcW w:w="5386" w:type="dxa"/>
            <w:vAlign w:val="center"/>
          </w:tcPr>
          <w:p>
            <w:pPr>
              <w:pStyle w:val="12"/>
            </w:pPr>
            <w:r>
              <w:t>严格按文化馆规章制度，完成各项工资任务</w:t>
            </w:r>
          </w:p>
        </w:tc>
        <w:tc>
          <w:tcPr>
            <w:tcW w:w="2268" w:type="dxa"/>
            <w:vAlign w:val="center"/>
          </w:tcPr>
          <w:p>
            <w:pPr>
              <w:pStyle w:val="12"/>
            </w:pPr>
            <w:r>
              <w:t>100%</w:t>
            </w:r>
          </w:p>
        </w:tc>
        <w:tc>
          <w:tcPr>
            <w:tcW w:w="1276" w:type="dxa"/>
            <w:vAlign w:val="center"/>
          </w:tcPr>
          <w:p>
            <w:pPr>
              <w:pStyle w:val="12"/>
            </w:pPr>
            <w:r>
              <w:t>劳动合同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工资发放及时率</w:t>
            </w:r>
          </w:p>
        </w:tc>
        <w:tc>
          <w:tcPr>
            <w:tcW w:w="5386" w:type="dxa"/>
            <w:vAlign w:val="center"/>
          </w:tcPr>
          <w:p>
            <w:pPr>
              <w:pStyle w:val="12"/>
            </w:pPr>
            <w:r>
              <w:t>工资发放及时率</w:t>
            </w:r>
          </w:p>
        </w:tc>
        <w:tc>
          <w:tcPr>
            <w:tcW w:w="2268" w:type="dxa"/>
            <w:vAlign w:val="center"/>
          </w:tcPr>
          <w:p>
            <w:pPr>
              <w:pStyle w:val="12"/>
            </w:pPr>
            <w:r>
              <w:t>100%</w:t>
            </w:r>
          </w:p>
        </w:tc>
        <w:tc>
          <w:tcPr>
            <w:tcW w:w="1276" w:type="dxa"/>
            <w:vAlign w:val="center"/>
          </w:tcPr>
          <w:p>
            <w:pPr>
              <w:pStyle w:val="12"/>
            </w:pPr>
            <w:r>
              <w:t>工资发放情况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劳务派遣人员月最低工资标准</w:t>
            </w:r>
          </w:p>
        </w:tc>
        <w:tc>
          <w:tcPr>
            <w:tcW w:w="5386" w:type="dxa"/>
            <w:vAlign w:val="center"/>
          </w:tcPr>
          <w:p>
            <w:pPr>
              <w:pStyle w:val="12"/>
            </w:pPr>
            <w:r>
              <w:t>执行的劳务派遣人员月工资标准</w:t>
            </w:r>
          </w:p>
        </w:tc>
        <w:tc>
          <w:tcPr>
            <w:tcW w:w="2268" w:type="dxa"/>
            <w:vAlign w:val="center"/>
          </w:tcPr>
          <w:p>
            <w:pPr>
              <w:pStyle w:val="12"/>
            </w:pPr>
            <w:r>
              <w:t>≥1900元/月，人</w:t>
            </w:r>
          </w:p>
        </w:tc>
        <w:tc>
          <w:tcPr>
            <w:tcW w:w="1276" w:type="dxa"/>
            <w:vAlign w:val="center"/>
          </w:tcPr>
          <w:p>
            <w:pPr>
              <w:pStyle w:val="12"/>
            </w:pPr>
            <w:r>
              <w:t>国家规定标准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工资消费贡献率</w:t>
            </w:r>
          </w:p>
        </w:tc>
        <w:tc>
          <w:tcPr>
            <w:tcW w:w="5386" w:type="dxa"/>
            <w:vAlign w:val="center"/>
          </w:tcPr>
          <w:p>
            <w:pPr>
              <w:pStyle w:val="12"/>
            </w:pPr>
            <w:r>
              <w:t>工资收入的消费能力</w:t>
            </w:r>
          </w:p>
        </w:tc>
        <w:tc>
          <w:tcPr>
            <w:tcW w:w="2268" w:type="dxa"/>
            <w:vAlign w:val="center"/>
          </w:tcPr>
          <w:p>
            <w:pPr>
              <w:pStyle w:val="12"/>
            </w:pPr>
            <w:r>
              <w:t>≥50%</w:t>
            </w:r>
          </w:p>
        </w:tc>
        <w:tc>
          <w:tcPr>
            <w:tcW w:w="1276" w:type="dxa"/>
            <w:vAlign w:val="center"/>
          </w:tcPr>
          <w:p>
            <w:pPr>
              <w:pStyle w:val="12"/>
            </w:pPr>
            <w:r>
              <w:t>实际消费水平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安排就业人数</w:t>
            </w:r>
          </w:p>
        </w:tc>
        <w:tc>
          <w:tcPr>
            <w:tcW w:w="5386" w:type="dxa"/>
            <w:vAlign w:val="center"/>
          </w:tcPr>
          <w:p>
            <w:pPr>
              <w:pStyle w:val="12"/>
            </w:pPr>
            <w:r>
              <w:t>解决就业人数，缓解就业压力</w:t>
            </w:r>
          </w:p>
        </w:tc>
        <w:tc>
          <w:tcPr>
            <w:tcW w:w="2268" w:type="dxa"/>
            <w:vAlign w:val="center"/>
          </w:tcPr>
          <w:p>
            <w:pPr>
              <w:pStyle w:val="12"/>
            </w:pPr>
            <w:r>
              <w:t>≥4人</w:t>
            </w:r>
          </w:p>
        </w:tc>
        <w:tc>
          <w:tcPr>
            <w:tcW w:w="1276" w:type="dxa"/>
            <w:vAlign w:val="center"/>
          </w:tcPr>
          <w:p>
            <w:pPr>
              <w:pStyle w:val="12"/>
            </w:pPr>
            <w:r>
              <w:t>实际劳务派遣人员情况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保障事业发展</w:t>
            </w:r>
          </w:p>
        </w:tc>
        <w:tc>
          <w:tcPr>
            <w:tcW w:w="5386" w:type="dxa"/>
            <w:vAlign w:val="center"/>
          </w:tcPr>
          <w:p>
            <w:pPr>
              <w:pStyle w:val="12"/>
            </w:pPr>
            <w:r>
              <w:t>保障各项工作正常运转</w:t>
            </w:r>
          </w:p>
        </w:tc>
        <w:tc>
          <w:tcPr>
            <w:tcW w:w="2268" w:type="dxa"/>
            <w:vAlign w:val="center"/>
          </w:tcPr>
          <w:p>
            <w:pPr>
              <w:pStyle w:val="12"/>
            </w:pPr>
            <w:r>
              <w:t>保障了机关正常运转</w:t>
            </w:r>
          </w:p>
        </w:tc>
        <w:tc>
          <w:tcPr>
            <w:tcW w:w="1276" w:type="dxa"/>
            <w:vAlign w:val="center"/>
          </w:tcPr>
          <w:p>
            <w:pPr>
              <w:pStyle w:val="12"/>
            </w:pPr>
            <w:r>
              <w:t>机关运转情况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劳务派遣人员</w:t>
            </w:r>
          </w:p>
        </w:tc>
        <w:tc>
          <w:tcPr>
            <w:tcW w:w="5386" w:type="dxa"/>
            <w:vAlign w:val="center"/>
          </w:tcPr>
          <w:p>
            <w:pPr>
              <w:pStyle w:val="12"/>
            </w:pPr>
            <w:r>
              <w:t>劳务派遣人员对工资待遇的满意度</w:t>
            </w:r>
          </w:p>
        </w:tc>
        <w:tc>
          <w:tcPr>
            <w:tcW w:w="2268" w:type="dxa"/>
            <w:vAlign w:val="center"/>
          </w:tcPr>
          <w:p>
            <w:pPr>
              <w:pStyle w:val="12"/>
            </w:pPr>
            <w:r>
              <w:t>≥95%</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3、农村文化建设-群众文化活动中心保安和保洁服务费绩效目标表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13020724P008DXN100213</w:t>
            </w:r>
          </w:p>
        </w:tc>
        <w:tc>
          <w:tcPr>
            <w:tcW w:w="2835" w:type="dxa"/>
            <w:vAlign w:val="center"/>
          </w:tcPr>
          <w:p>
            <w:pPr>
              <w:pStyle w:val="10"/>
            </w:pPr>
            <w:r>
              <w:t>项目名称</w:t>
            </w:r>
          </w:p>
        </w:tc>
        <w:tc>
          <w:tcPr>
            <w:tcW w:w="6094" w:type="dxa"/>
            <w:gridSpan w:val="3"/>
            <w:vAlign w:val="center"/>
          </w:tcPr>
          <w:p>
            <w:pPr>
              <w:pStyle w:val="12"/>
            </w:pPr>
            <w:r>
              <w:t>农村文化建设-群众文化活动中心保安和保洁服务费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12.24</w:t>
            </w:r>
          </w:p>
        </w:tc>
        <w:tc>
          <w:tcPr>
            <w:tcW w:w="2835" w:type="dxa"/>
            <w:vAlign w:val="center"/>
          </w:tcPr>
          <w:p>
            <w:pPr>
              <w:pStyle w:val="10"/>
            </w:pPr>
            <w:r>
              <w:t>其中：财政    资金</w:t>
            </w:r>
          </w:p>
        </w:tc>
        <w:tc>
          <w:tcPr>
            <w:tcW w:w="2551" w:type="dxa"/>
            <w:vAlign w:val="center"/>
          </w:tcPr>
          <w:p>
            <w:pPr>
              <w:pStyle w:val="12"/>
            </w:pPr>
            <w:r>
              <w:t>12.24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tc>
        <w:tc>
          <w:tcPr>
            <w:tcW w:w="14031" w:type="dxa"/>
            <w:gridSpan w:val="6"/>
            <w:vAlign w:val="center"/>
          </w:tcPr>
          <w:p>
            <w:pPr>
              <w:pStyle w:val="12"/>
            </w:pPr>
            <w:r>
              <w:t>群众文化活动中心全年对外免费开放，积极组织各种群众文体活动，全年参与活动群众达到3万人次，为全区广大群众营造良好的社会活动环境。为了确保院内整洁，每天需要清扫整理，定期清理垃圾死角；同时院内也保持了良好的治安环境。2024年申请群众文化活动中心保安和保洁服务费资金12.24万元,其中：保洁服务费5.28万元，保安服务费6.96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1.保障群众文化活动中心秩序稳定，卫生状态良好。</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保安人员，保洁人员工资到位</w:t>
            </w:r>
          </w:p>
        </w:tc>
        <w:tc>
          <w:tcPr>
            <w:tcW w:w="5386" w:type="dxa"/>
            <w:vAlign w:val="center"/>
          </w:tcPr>
          <w:p>
            <w:pPr>
              <w:pStyle w:val="12"/>
            </w:pPr>
            <w:r>
              <w:t>按季度发放到位</w:t>
            </w:r>
          </w:p>
        </w:tc>
        <w:tc>
          <w:tcPr>
            <w:tcW w:w="2268" w:type="dxa"/>
            <w:vAlign w:val="center"/>
          </w:tcPr>
          <w:p>
            <w:pPr>
              <w:pStyle w:val="12"/>
            </w:pPr>
            <w:r>
              <w:t>100%</w:t>
            </w:r>
          </w:p>
        </w:tc>
        <w:tc>
          <w:tcPr>
            <w:tcW w:w="1276" w:type="dxa"/>
            <w:vAlign w:val="center"/>
          </w:tcPr>
          <w:p>
            <w:pPr>
              <w:pStyle w:val="12"/>
            </w:pPr>
            <w:r>
              <w:t>服务合同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整个院安全，保洁到位</w:t>
            </w:r>
          </w:p>
        </w:tc>
        <w:tc>
          <w:tcPr>
            <w:tcW w:w="5386" w:type="dxa"/>
            <w:vAlign w:val="center"/>
          </w:tcPr>
          <w:p>
            <w:pPr>
              <w:pStyle w:val="12"/>
            </w:pPr>
            <w:r>
              <w:t>安全无事故，环境优美</w:t>
            </w:r>
          </w:p>
        </w:tc>
        <w:tc>
          <w:tcPr>
            <w:tcW w:w="2268" w:type="dxa"/>
            <w:vAlign w:val="center"/>
          </w:tcPr>
          <w:p>
            <w:pPr>
              <w:pStyle w:val="12"/>
            </w:pPr>
            <w:r>
              <w:t>100%</w:t>
            </w:r>
          </w:p>
        </w:tc>
        <w:tc>
          <w:tcPr>
            <w:tcW w:w="1276" w:type="dxa"/>
            <w:vAlign w:val="center"/>
          </w:tcPr>
          <w:p>
            <w:pPr>
              <w:pStyle w:val="12"/>
            </w:pPr>
            <w:r>
              <w:t>定期检查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工资及时发放到位</w:t>
            </w:r>
          </w:p>
        </w:tc>
        <w:tc>
          <w:tcPr>
            <w:tcW w:w="5386" w:type="dxa"/>
            <w:vAlign w:val="center"/>
          </w:tcPr>
          <w:p>
            <w:pPr>
              <w:pStyle w:val="12"/>
            </w:pPr>
            <w:r>
              <w:t>及时发放</w:t>
            </w:r>
          </w:p>
        </w:tc>
        <w:tc>
          <w:tcPr>
            <w:tcW w:w="2268" w:type="dxa"/>
            <w:vAlign w:val="center"/>
          </w:tcPr>
          <w:p>
            <w:pPr>
              <w:pStyle w:val="12"/>
            </w:pPr>
            <w:r>
              <w:t>100%</w:t>
            </w:r>
          </w:p>
        </w:tc>
        <w:tc>
          <w:tcPr>
            <w:tcW w:w="1276" w:type="dxa"/>
            <w:vAlign w:val="center"/>
          </w:tcPr>
          <w:p>
            <w:pPr>
              <w:pStyle w:val="12"/>
            </w:pPr>
            <w:r>
              <w:t>服务合同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保安，保洁人员值班到岗</w:t>
            </w:r>
          </w:p>
        </w:tc>
        <w:tc>
          <w:tcPr>
            <w:tcW w:w="5386" w:type="dxa"/>
            <w:vAlign w:val="center"/>
          </w:tcPr>
          <w:p>
            <w:pPr>
              <w:pStyle w:val="12"/>
            </w:pPr>
            <w:r>
              <w:t>实际值岗次数占总值班次数比例</w:t>
            </w:r>
          </w:p>
        </w:tc>
        <w:tc>
          <w:tcPr>
            <w:tcW w:w="2268" w:type="dxa"/>
            <w:vAlign w:val="center"/>
          </w:tcPr>
          <w:p>
            <w:pPr>
              <w:pStyle w:val="12"/>
            </w:pPr>
            <w:r>
              <w:t>100%</w:t>
            </w:r>
          </w:p>
        </w:tc>
        <w:tc>
          <w:tcPr>
            <w:tcW w:w="1276" w:type="dxa"/>
            <w:vAlign w:val="center"/>
          </w:tcPr>
          <w:p>
            <w:pPr>
              <w:pStyle w:val="12"/>
            </w:pPr>
            <w:r>
              <w:t>出勤率高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确保群众文化活动正常</w:t>
            </w:r>
          </w:p>
        </w:tc>
        <w:tc>
          <w:tcPr>
            <w:tcW w:w="5386" w:type="dxa"/>
            <w:vAlign w:val="center"/>
          </w:tcPr>
          <w:p>
            <w:pPr>
              <w:pStyle w:val="12"/>
            </w:pPr>
            <w:r>
              <w:t>让前来活动人群满意</w:t>
            </w:r>
          </w:p>
        </w:tc>
        <w:tc>
          <w:tcPr>
            <w:tcW w:w="2268" w:type="dxa"/>
            <w:vAlign w:val="center"/>
          </w:tcPr>
          <w:p>
            <w:pPr>
              <w:pStyle w:val="12"/>
            </w:pPr>
            <w:r>
              <w:t>100%</w:t>
            </w:r>
          </w:p>
        </w:tc>
        <w:tc>
          <w:tcPr>
            <w:tcW w:w="1276" w:type="dxa"/>
            <w:vAlign w:val="center"/>
          </w:tcPr>
          <w:p>
            <w:pPr>
              <w:pStyle w:val="12"/>
            </w:pPr>
            <w:r>
              <w:t>定期检查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确保安全无事故，院子整洁干净</w:t>
            </w:r>
          </w:p>
        </w:tc>
        <w:tc>
          <w:tcPr>
            <w:tcW w:w="5386" w:type="dxa"/>
            <w:vAlign w:val="center"/>
          </w:tcPr>
          <w:p>
            <w:pPr>
              <w:pStyle w:val="12"/>
            </w:pPr>
            <w:r>
              <w:t>群众满意</w:t>
            </w:r>
          </w:p>
        </w:tc>
        <w:tc>
          <w:tcPr>
            <w:tcW w:w="2268" w:type="dxa"/>
            <w:vAlign w:val="center"/>
          </w:tcPr>
          <w:p>
            <w:pPr>
              <w:pStyle w:val="12"/>
            </w:pPr>
            <w:r>
              <w:t>100%</w:t>
            </w:r>
          </w:p>
        </w:tc>
        <w:tc>
          <w:tcPr>
            <w:tcW w:w="1276" w:type="dxa"/>
            <w:vAlign w:val="center"/>
          </w:tcPr>
          <w:p>
            <w:pPr>
              <w:pStyle w:val="12"/>
            </w:pPr>
            <w:r>
              <w:t>定期检查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确保环境整洁</w:t>
            </w:r>
          </w:p>
        </w:tc>
        <w:tc>
          <w:tcPr>
            <w:tcW w:w="5386" w:type="dxa"/>
            <w:vAlign w:val="center"/>
          </w:tcPr>
          <w:p>
            <w:pPr>
              <w:pStyle w:val="12"/>
            </w:pPr>
            <w:r>
              <w:t>无安全隐患</w:t>
            </w:r>
          </w:p>
        </w:tc>
        <w:tc>
          <w:tcPr>
            <w:tcW w:w="2268" w:type="dxa"/>
            <w:vAlign w:val="center"/>
          </w:tcPr>
          <w:p>
            <w:pPr>
              <w:pStyle w:val="12"/>
            </w:pPr>
            <w:r>
              <w:t>100%</w:t>
            </w:r>
          </w:p>
        </w:tc>
        <w:tc>
          <w:tcPr>
            <w:tcW w:w="1276" w:type="dxa"/>
            <w:vAlign w:val="center"/>
          </w:tcPr>
          <w:p>
            <w:pPr>
              <w:pStyle w:val="12"/>
            </w:pPr>
            <w:r>
              <w:t>定期检查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咨询前来活动人群</w:t>
            </w:r>
          </w:p>
        </w:tc>
        <w:tc>
          <w:tcPr>
            <w:tcW w:w="5386" w:type="dxa"/>
            <w:vAlign w:val="center"/>
          </w:tcPr>
          <w:p>
            <w:pPr>
              <w:pStyle w:val="12"/>
            </w:pPr>
            <w:r>
              <w:t>群众满意度</w:t>
            </w:r>
          </w:p>
        </w:tc>
        <w:tc>
          <w:tcPr>
            <w:tcW w:w="2268" w:type="dxa"/>
            <w:vAlign w:val="center"/>
          </w:tcPr>
          <w:p>
            <w:pPr>
              <w:pStyle w:val="12"/>
            </w:pPr>
            <w:r>
              <w:t>100%</w:t>
            </w:r>
          </w:p>
        </w:tc>
        <w:tc>
          <w:tcPr>
            <w:tcW w:w="1276" w:type="dxa"/>
            <w:vAlign w:val="center"/>
          </w:tcPr>
          <w:p>
            <w:pPr>
              <w:pStyle w:val="12"/>
            </w:pPr>
            <w:r>
              <w:t>随时抽查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4、农村文化建设-群众文化活动中心运行费绩效目标表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13020724P008DXN10022N</w:t>
            </w:r>
          </w:p>
        </w:tc>
        <w:tc>
          <w:tcPr>
            <w:tcW w:w="2835" w:type="dxa"/>
            <w:vAlign w:val="center"/>
          </w:tcPr>
          <w:p>
            <w:pPr>
              <w:pStyle w:val="10"/>
            </w:pPr>
            <w:r>
              <w:t>项目名称</w:t>
            </w:r>
          </w:p>
        </w:tc>
        <w:tc>
          <w:tcPr>
            <w:tcW w:w="6094" w:type="dxa"/>
            <w:gridSpan w:val="3"/>
            <w:vAlign w:val="center"/>
          </w:tcPr>
          <w:p>
            <w:pPr>
              <w:pStyle w:val="12"/>
            </w:pPr>
            <w:r>
              <w:t>农村文化建设-群众文化活动中心运行费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18.96</w:t>
            </w:r>
          </w:p>
        </w:tc>
        <w:tc>
          <w:tcPr>
            <w:tcW w:w="2835" w:type="dxa"/>
            <w:vAlign w:val="center"/>
          </w:tcPr>
          <w:p>
            <w:pPr>
              <w:pStyle w:val="10"/>
            </w:pPr>
            <w:r>
              <w:t>其中：财政    资金</w:t>
            </w:r>
          </w:p>
        </w:tc>
        <w:tc>
          <w:tcPr>
            <w:tcW w:w="2551" w:type="dxa"/>
            <w:vAlign w:val="center"/>
          </w:tcPr>
          <w:p>
            <w:pPr>
              <w:pStyle w:val="12"/>
            </w:pPr>
            <w:r>
              <w:t>18.96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群众文化活动中心2024年积极组织各项文体活动。为了确保群众文化建设的正常运行，我们所需要相关支出费用，包括办公费用、电费、水费、取暖费用、维修费、物业费用及相关组织文艺活动的活动经费支出。2024年申请农村文化建设-群众文化活动中心运行费资金18.96万元，用于支出办公所需涉及到的所有运行费用，活动涉及的劳务支出费用、宣传展牌、会标制作、舞台设备租赁、活动视频制作、展览作品装裱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10%</w:t>
            </w:r>
          </w:p>
        </w:tc>
        <w:tc>
          <w:tcPr>
            <w:tcW w:w="2835" w:type="dxa"/>
            <w:vAlign w:val="center"/>
          </w:tcPr>
          <w:p>
            <w:pPr>
              <w:pStyle w:val="13"/>
            </w:pPr>
            <w:r>
              <w:t>20%</w:t>
            </w:r>
          </w:p>
        </w:tc>
        <w:tc>
          <w:tcPr>
            <w:tcW w:w="2551" w:type="dxa"/>
            <w:vAlign w:val="center"/>
          </w:tcPr>
          <w:p>
            <w:pPr>
              <w:pStyle w:val="13"/>
            </w:pPr>
            <w:r>
              <w:t>90%</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1.本着服务群众、欢乐群众、幸福群众为宗旨，组织开展基层群众文化活动，真正把文化馆（分馆）服务为民的作用发挥到最大，为广大群众提供优质、便捷、均等的文化活动。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举办活动次数</w:t>
            </w:r>
          </w:p>
        </w:tc>
        <w:tc>
          <w:tcPr>
            <w:tcW w:w="5386" w:type="dxa"/>
            <w:vAlign w:val="center"/>
          </w:tcPr>
          <w:p>
            <w:pPr>
              <w:pStyle w:val="12"/>
            </w:pPr>
            <w:r>
              <w:t>年内举办各项文化活动</w:t>
            </w:r>
          </w:p>
        </w:tc>
        <w:tc>
          <w:tcPr>
            <w:tcW w:w="2268" w:type="dxa"/>
            <w:vAlign w:val="center"/>
          </w:tcPr>
          <w:p>
            <w:pPr>
              <w:pStyle w:val="12"/>
            </w:pPr>
            <w:r>
              <w:t>≥10次</w:t>
            </w:r>
          </w:p>
        </w:tc>
        <w:tc>
          <w:tcPr>
            <w:tcW w:w="1276" w:type="dxa"/>
            <w:vAlign w:val="center"/>
          </w:tcPr>
          <w:p>
            <w:pPr>
              <w:pStyle w:val="12"/>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各项活动圆满成功</w:t>
            </w:r>
          </w:p>
        </w:tc>
        <w:tc>
          <w:tcPr>
            <w:tcW w:w="5386" w:type="dxa"/>
            <w:vAlign w:val="center"/>
          </w:tcPr>
          <w:p>
            <w:pPr>
              <w:pStyle w:val="12"/>
            </w:pPr>
            <w:r>
              <w:t>按预案方案要求，严谨举办活动，确保圆满成功社会效果好</w:t>
            </w:r>
          </w:p>
        </w:tc>
        <w:tc>
          <w:tcPr>
            <w:tcW w:w="2268" w:type="dxa"/>
            <w:vAlign w:val="center"/>
          </w:tcPr>
          <w:p>
            <w:pPr>
              <w:pStyle w:val="12"/>
            </w:pPr>
            <w:r>
              <w:t>100%</w:t>
            </w:r>
          </w:p>
        </w:tc>
        <w:tc>
          <w:tcPr>
            <w:tcW w:w="1276" w:type="dxa"/>
            <w:vAlign w:val="center"/>
          </w:tcPr>
          <w:p>
            <w:pPr>
              <w:pStyle w:val="12"/>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活动完成的及时率</w:t>
            </w:r>
          </w:p>
        </w:tc>
        <w:tc>
          <w:tcPr>
            <w:tcW w:w="5386" w:type="dxa"/>
            <w:vAlign w:val="center"/>
          </w:tcPr>
          <w:p>
            <w:pPr>
              <w:pStyle w:val="12"/>
            </w:pPr>
            <w:r>
              <w:t>活动完成的及时率</w:t>
            </w:r>
          </w:p>
        </w:tc>
        <w:tc>
          <w:tcPr>
            <w:tcW w:w="2268" w:type="dxa"/>
            <w:vAlign w:val="center"/>
          </w:tcPr>
          <w:p>
            <w:pPr>
              <w:pStyle w:val="12"/>
            </w:pPr>
            <w:r>
              <w:t>100%</w:t>
            </w:r>
          </w:p>
        </w:tc>
        <w:tc>
          <w:tcPr>
            <w:tcW w:w="1276" w:type="dxa"/>
            <w:vAlign w:val="center"/>
          </w:tcPr>
          <w:p>
            <w:pPr>
              <w:pStyle w:val="12"/>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活动所需资金</w:t>
            </w:r>
          </w:p>
        </w:tc>
        <w:tc>
          <w:tcPr>
            <w:tcW w:w="5386" w:type="dxa"/>
            <w:vAlign w:val="center"/>
          </w:tcPr>
          <w:p>
            <w:pPr>
              <w:pStyle w:val="12"/>
            </w:pPr>
            <w:r>
              <w:t>确保群众文化活动正常开展</w:t>
            </w:r>
          </w:p>
        </w:tc>
        <w:tc>
          <w:tcPr>
            <w:tcW w:w="2268" w:type="dxa"/>
            <w:vAlign w:val="center"/>
          </w:tcPr>
          <w:p>
            <w:pPr>
              <w:pStyle w:val="12"/>
            </w:pPr>
            <w:r>
              <w:t>≥95%</w:t>
            </w:r>
          </w:p>
        </w:tc>
        <w:tc>
          <w:tcPr>
            <w:tcW w:w="1276" w:type="dxa"/>
            <w:vAlign w:val="center"/>
          </w:tcPr>
          <w:p>
            <w:pPr>
              <w:pStyle w:val="12"/>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活动费用发挥率</w:t>
            </w:r>
          </w:p>
        </w:tc>
        <w:tc>
          <w:tcPr>
            <w:tcW w:w="5386" w:type="dxa"/>
            <w:vAlign w:val="center"/>
          </w:tcPr>
          <w:p>
            <w:pPr>
              <w:pStyle w:val="12"/>
            </w:pPr>
            <w:r>
              <w:t>确保活动圆满成功，吸引众多民众观看参与</w:t>
            </w:r>
          </w:p>
        </w:tc>
        <w:tc>
          <w:tcPr>
            <w:tcW w:w="2268" w:type="dxa"/>
            <w:vAlign w:val="center"/>
          </w:tcPr>
          <w:p>
            <w:pPr>
              <w:pStyle w:val="12"/>
            </w:pPr>
            <w:r>
              <w:t>100%</w:t>
            </w:r>
          </w:p>
        </w:tc>
        <w:tc>
          <w:tcPr>
            <w:tcW w:w="1276" w:type="dxa"/>
            <w:vAlign w:val="center"/>
          </w:tcPr>
          <w:p>
            <w:pPr>
              <w:pStyle w:val="12"/>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参与活动人数</w:t>
            </w:r>
          </w:p>
        </w:tc>
        <w:tc>
          <w:tcPr>
            <w:tcW w:w="5386" w:type="dxa"/>
            <w:vAlign w:val="center"/>
          </w:tcPr>
          <w:p>
            <w:pPr>
              <w:pStyle w:val="12"/>
            </w:pPr>
            <w:r>
              <w:t>激发更多群众积极参与群众文化活动</w:t>
            </w:r>
          </w:p>
        </w:tc>
        <w:tc>
          <w:tcPr>
            <w:tcW w:w="2268" w:type="dxa"/>
            <w:vAlign w:val="center"/>
          </w:tcPr>
          <w:p>
            <w:pPr>
              <w:pStyle w:val="12"/>
            </w:pPr>
            <w:r>
              <w:t>100%</w:t>
            </w:r>
          </w:p>
        </w:tc>
        <w:tc>
          <w:tcPr>
            <w:tcW w:w="1276" w:type="dxa"/>
            <w:vAlign w:val="center"/>
          </w:tcPr>
          <w:p>
            <w:pPr>
              <w:pStyle w:val="12"/>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保障活动顺利开展</w:t>
            </w:r>
          </w:p>
        </w:tc>
        <w:tc>
          <w:tcPr>
            <w:tcW w:w="5386" w:type="dxa"/>
            <w:vAlign w:val="center"/>
          </w:tcPr>
          <w:p>
            <w:pPr>
              <w:pStyle w:val="12"/>
            </w:pPr>
            <w:r>
              <w:t>保障各项工作顺利开展</w:t>
            </w:r>
          </w:p>
        </w:tc>
        <w:tc>
          <w:tcPr>
            <w:tcW w:w="2268" w:type="dxa"/>
            <w:vAlign w:val="center"/>
          </w:tcPr>
          <w:p>
            <w:pPr>
              <w:pStyle w:val="12"/>
            </w:pPr>
            <w:r>
              <w:t>100%</w:t>
            </w:r>
          </w:p>
        </w:tc>
        <w:tc>
          <w:tcPr>
            <w:tcW w:w="1276" w:type="dxa"/>
            <w:vAlign w:val="center"/>
          </w:tcPr>
          <w:p>
            <w:pPr>
              <w:pStyle w:val="12"/>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群众对群众文化活动中心开展的各项文化活动的整体满意度</w:t>
            </w:r>
          </w:p>
        </w:tc>
        <w:tc>
          <w:tcPr>
            <w:tcW w:w="2268" w:type="dxa"/>
            <w:vAlign w:val="center"/>
          </w:tcPr>
          <w:p>
            <w:pPr>
              <w:pStyle w:val="12"/>
            </w:pPr>
            <w:r>
              <w:t>≥95%</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5、群众文化活动经费（免费开放）绩效目标表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13020724P008DXN10023A</w:t>
            </w:r>
          </w:p>
        </w:tc>
        <w:tc>
          <w:tcPr>
            <w:tcW w:w="2835" w:type="dxa"/>
            <w:vAlign w:val="center"/>
          </w:tcPr>
          <w:p>
            <w:pPr>
              <w:pStyle w:val="10"/>
            </w:pPr>
            <w:r>
              <w:t>项目名称</w:t>
            </w:r>
          </w:p>
        </w:tc>
        <w:tc>
          <w:tcPr>
            <w:tcW w:w="6094" w:type="dxa"/>
            <w:gridSpan w:val="3"/>
            <w:vAlign w:val="center"/>
          </w:tcPr>
          <w:p>
            <w:pPr>
              <w:pStyle w:val="12"/>
            </w:pPr>
            <w:r>
              <w:t>群众文化活动经费（免费开放）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其中：财政    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2024年申请群众文化活动经费（免费开放）资金10万元，用于支出活动涉及的劳务支出、宣传展牌、会标制作、舞台设备租赁、展览画册印刷、展览作品装裱、活动视频制作等。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20%</w:t>
            </w:r>
          </w:p>
        </w:tc>
        <w:tc>
          <w:tcPr>
            <w:tcW w:w="2835" w:type="dxa"/>
            <w:vAlign w:val="center"/>
          </w:tcPr>
          <w:p>
            <w:pPr>
              <w:pStyle w:val="13"/>
            </w:pPr>
            <w:r>
              <w:t>40%</w:t>
            </w:r>
          </w:p>
        </w:tc>
        <w:tc>
          <w:tcPr>
            <w:tcW w:w="2551" w:type="dxa"/>
            <w:vAlign w:val="center"/>
          </w:tcPr>
          <w:p>
            <w:pPr>
              <w:pStyle w:val="13"/>
            </w:pPr>
            <w:r>
              <w:t>90%</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1.组织各类展览、演出、研讨等小型活动不低于20场次，丰富和活跃广大群众文化生活，普及科学文化知识，指导社会文化活动的普及与提高，开展社会宣教。</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举办活动次数</w:t>
            </w:r>
          </w:p>
        </w:tc>
        <w:tc>
          <w:tcPr>
            <w:tcW w:w="5386" w:type="dxa"/>
            <w:vAlign w:val="center"/>
          </w:tcPr>
          <w:p>
            <w:pPr>
              <w:pStyle w:val="12"/>
            </w:pPr>
            <w:r>
              <w:t>全年举办活动的次数</w:t>
            </w:r>
          </w:p>
        </w:tc>
        <w:tc>
          <w:tcPr>
            <w:tcW w:w="2268" w:type="dxa"/>
            <w:vAlign w:val="center"/>
          </w:tcPr>
          <w:p>
            <w:pPr>
              <w:pStyle w:val="12"/>
            </w:pPr>
            <w:r>
              <w:t>≥20次</w:t>
            </w:r>
          </w:p>
        </w:tc>
        <w:tc>
          <w:tcPr>
            <w:tcW w:w="1276" w:type="dxa"/>
            <w:vAlign w:val="center"/>
          </w:tcPr>
          <w:p>
            <w:pPr>
              <w:pStyle w:val="12"/>
            </w:pPr>
            <w:r>
              <w:t>国家一级馆及国家公共文化服务示范区要求、唐山市文艺云约、文化惠民要求。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圆满成功</w:t>
            </w:r>
          </w:p>
        </w:tc>
        <w:tc>
          <w:tcPr>
            <w:tcW w:w="5386" w:type="dxa"/>
            <w:vAlign w:val="center"/>
          </w:tcPr>
          <w:p>
            <w:pPr>
              <w:pStyle w:val="12"/>
            </w:pPr>
            <w:r>
              <w:t>保质保量达到满意的社会效益</w:t>
            </w:r>
          </w:p>
        </w:tc>
        <w:tc>
          <w:tcPr>
            <w:tcW w:w="2268" w:type="dxa"/>
            <w:vAlign w:val="center"/>
          </w:tcPr>
          <w:p>
            <w:pPr>
              <w:pStyle w:val="12"/>
            </w:pPr>
            <w:r>
              <w:t>100%</w:t>
            </w:r>
          </w:p>
        </w:tc>
        <w:tc>
          <w:tcPr>
            <w:tcW w:w="1276" w:type="dxa"/>
            <w:vAlign w:val="center"/>
          </w:tcPr>
          <w:p>
            <w:pPr>
              <w:pStyle w:val="12"/>
            </w:pPr>
            <w:r>
              <w:t>国家一级馆及国家公共文化服务示范区要求、唐山市文艺云约、文化惠民要求。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完成率</w:t>
            </w:r>
          </w:p>
        </w:tc>
        <w:tc>
          <w:tcPr>
            <w:tcW w:w="5386" w:type="dxa"/>
            <w:vAlign w:val="center"/>
          </w:tcPr>
          <w:p>
            <w:pPr>
              <w:pStyle w:val="12"/>
            </w:pPr>
            <w:r>
              <w:t>活动完成的及时程度</w:t>
            </w:r>
          </w:p>
        </w:tc>
        <w:tc>
          <w:tcPr>
            <w:tcW w:w="2268" w:type="dxa"/>
            <w:vAlign w:val="center"/>
          </w:tcPr>
          <w:p>
            <w:pPr>
              <w:pStyle w:val="12"/>
            </w:pPr>
            <w:r>
              <w:t>100%</w:t>
            </w:r>
          </w:p>
        </w:tc>
        <w:tc>
          <w:tcPr>
            <w:tcW w:w="1276" w:type="dxa"/>
            <w:vAlign w:val="center"/>
          </w:tcPr>
          <w:p>
            <w:pPr>
              <w:pStyle w:val="12"/>
            </w:pPr>
            <w:r>
              <w:t>国家一级馆及国家公共文化服务示范区要求、唐山市文艺云约、文化惠民要求。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活动所需设备</w:t>
            </w:r>
          </w:p>
        </w:tc>
        <w:tc>
          <w:tcPr>
            <w:tcW w:w="5386" w:type="dxa"/>
            <w:vAlign w:val="center"/>
          </w:tcPr>
          <w:p>
            <w:pPr>
              <w:pStyle w:val="12"/>
            </w:pPr>
            <w:r>
              <w:t>确保活动正常圆满进行，达到预期效果</w:t>
            </w:r>
          </w:p>
        </w:tc>
        <w:tc>
          <w:tcPr>
            <w:tcW w:w="2268" w:type="dxa"/>
            <w:vAlign w:val="center"/>
          </w:tcPr>
          <w:p>
            <w:pPr>
              <w:pStyle w:val="12"/>
            </w:pPr>
            <w:r>
              <w:t>≥95%</w:t>
            </w:r>
          </w:p>
        </w:tc>
        <w:tc>
          <w:tcPr>
            <w:tcW w:w="1276" w:type="dxa"/>
            <w:vAlign w:val="center"/>
          </w:tcPr>
          <w:p>
            <w:pPr>
              <w:pStyle w:val="12"/>
            </w:pPr>
            <w:r>
              <w:t>按上级工作部署，配合区委区政府工作中心，国家一级馆“人均事业费”达标要求。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活动费用发挥率</w:t>
            </w:r>
          </w:p>
        </w:tc>
        <w:tc>
          <w:tcPr>
            <w:tcW w:w="5386" w:type="dxa"/>
            <w:vAlign w:val="center"/>
          </w:tcPr>
          <w:p>
            <w:pPr>
              <w:pStyle w:val="12"/>
            </w:pPr>
            <w:r>
              <w:t>确保活动圆满成功，吸引众多民众观看参与</w:t>
            </w:r>
          </w:p>
        </w:tc>
        <w:tc>
          <w:tcPr>
            <w:tcW w:w="2268" w:type="dxa"/>
            <w:vAlign w:val="center"/>
          </w:tcPr>
          <w:p>
            <w:pPr>
              <w:pStyle w:val="12"/>
            </w:pPr>
            <w:r>
              <w:t>100%</w:t>
            </w:r>
          </w:p>
        </w:tc>
        <w:tc>
          <w:tcPr>
            <w:tcW w:w="1276" w:type="dxa"/>
            <w:vAlign w:val="center"/>
          </w:tcPr>
          <w:p>
            <w:pPr>
              <w:pStyle w:val="12"/>
            </w:pPr>
            <w:r>
              <w:t>国家一级馆及国家公共文化服务示范区要求、唐山市文艺云约、文化惠民要求。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参与活动人数</w:t>
            </w:r>
          </w:p>
        </w:tc>
        <w:tc>
          <w:tcPr>
            <w:tcW w:w="5386" w:type="dxa"/>
            <w:vAlign w:val="center"/>
          </w:tcPr>
          <w:p>
            <w:pPr>
              <w:pStyle w:val="12"/>
            </w:pPr>
            <w:r>
              <w:t>激发更多群众积极参与群众文化活动</w:t>
            </w:r>
          </w:p>
        </w:tc>
        <w:tc>
          <w:tcPr>
            <w:tcW w:w="2268" w:type="dxa"/>
            <w:vAlign w:val="center"/>
          </w:tcPr>
          <w:p>
            <w:pPr>
              <w:pStyle w:val="12"/>
            </w:pPr>
            <w:r>
              <w:t>100%</w:t>
            </w:r>
          </w:p>
        </w:tc>
        <w:tc>
          <w:tcPr>
            <w:tcW w:w="1276" w:type="dxa"/>
            <w:vAlign w:val="center"/>
          </w:tcPr>
          <w:p>
            <w:pPr>
              <w:pStyle w:val="12"/>
            </w:pPr>
            <w:r>
              <w:t>国家一级馆要求，及国家公共文化服务示范区达标要求及丰南文化馆工作职能。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保障丰南群众文化事业向前发展</w:t>
            </w:r>
          </w:p>
        </w:tc>
        <w:tc>
          <w:tcPr>
            <w:tcW w:w="5386" w:type="dxa"/>
            <w:vAlign w:val="center"/>
          </w:tcPr>
          <w:p>
            <w:pPr>
              <w:pStyle w:val="12"/>
            </w:pPr>
            <w:r>
              <w:t>保障各项工作正常运行</w:t>
            </w:r>
          </w:p>
        </w:tc>
        <w:tc>
          <w:tcPr>
            <w:tcW w:w="2268" w:type="dxa"/>
            <w:vAlign w:val="center"/>
          </w:tcPr>
          <w:p>
            <w:pPr>
              <w:pStyle w:val="12"/>
            </w:pPr>
            <w:r>
              <w:t>100%</w:t>
            </w:r>
          </w:p>
        </w:tc>
        <w:tc>
          <w:tcPr>
            <w:tcW w:w="1276" w:type="dxa"/>
            <w:vAlign w:val="center"/>
          </w:tcPr>
          <w:p>
            <w:pPr>
              <w:pStyle w:val="12"/>
            </w:pPr>
            <w:r>
              <w:t>国家一级馆及国家公共文化服务示范区要求、唐山市文艺云约、文化惠民要求。</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群众对举办活动的满意</w:t>
            </w:r>
          </w:p>
        </w:tc>
        <w:tc>
          <w:tcPr>
            <w:tcW w:w="2268" w:type="dxa"/>
            <w:vAlign w:val="center"/>
          </w:tcPr>
          <w:p>
            <w:pPr>
              <w:pStyle w:val="12"/>
            </w:pPr>
            <w:r>
              <w:t>≥95%</w:t>
            </w:r>
          </w:p>
        </w:tc>
        <w:tc>
          <w:tcPr>
            <w:tcW w:w="1276" w:type="dxa"/>
            <w:vAlign w:val="center"/>
          </w:tcPr>
          <w:p>
            <w:pPr>
              <w:pStyle w:val="12"/>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6、提前下达2024年省级“三馆一站”免费开放补助资金（唐财教[2023]80号）绩效目标表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13020724P00406B100127</w:t>
            </w:r>
          </w:p>
        </w:tc>
        <w:tc>
          <w:tcPr>
            <w:tcW w:w="2835" w:type="dxa"/>
            <w:vAlign w:val="center"/>
          </w:tcPr>
          <w:p>
            <w:pPr>
              <w:pStyle w:val="10"/>
            </w:pPr>
            <w:r>
              <w:t>项目名称</w:t>
            </w:r>
          </w:p>
        </w:tc>
        <w:tc>
          <w:tcPr>
            <w:tcW w:w="6094" w:type="dxa"/>
            <w:gridSpan w:val="3"/>
            <w:vAlign w:val="center"/>
          </w:tcPr>
          <w:p>
            <w:pPr>
              <w:pStyle w:val="12"/>
            </w:pPr>
            <w:r>
              <w:t>提前下达2024年省级“三馆一站”免费开放补助资金（唐财教[2023]80号）</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根据河北省财政厅《关于提前下达2024年省级“三馆一站”免费开放补助资金的通知》（唐财教[2023]80号）要求，大力实施公共文化免费对外开放服务。配合区委、区政府工作中心和上级主题活动要求，制作反映主题、宣传丰南、展现丰南民众昂扬向上精神风貌的音乐视频片，涉及资金共计2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50%</w:t>
            </w:r>
          </w:p>
        </w:tc>
        <w:tc>
          <w:tcPr>
            <w:tcW w:w="2551" w:type="dxa"/>
            <w:vAlign w:val="center"/>
          </w:tcPr>
          <w:p>
            <w:pPr>
              <w:pStyle w:val="13"/>
            </w:pPr>
            <w:r>
              <w:t>100%</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1.配合上级主题，制作宣传音乐、视频，宣传丰南，丰富和活跃群众文化生活，引导群众广泛参与文化。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创作完成的文化宣传制品件数</w:t>
            </w:r>
          </w:p>
        </w:tc>
        <w:tc>
          <w:tcPr>
            <w:tcW w:w="5386" w:type="dxa"/>
            <w:vAlign w:val="center"/>
          </w:tcPr>
          <w:p>
            <w:pPr>
              <w:pStyle w:val="12"/>
            </w:pPr>
            <w:r>
              <w:t>全年完成制品小品、MV等</w:t>
            </w:r>
          </w:p>
        </w:tc>
        <w:tc>
          <w:tcPr>
            <w:tcW w:w="2268" w:type="dxa"/>
            <w:vAlign w:val="center"/>
          </w:tcPr>
          <w:p>
            <w:pPr>
              <w:pStyle w:val="12"/>
            </w:pPr>
            <w:r>
              <w:t>全年2件以上</w:t>
            </w:r>
          </w:p>
        </w:tc>
        <w:tc>
          <w:tcPr>
            <w:tcW w:w="1276" w:type="dxa"/>
            <w:vAlign w:val="center"/>
          </w:tcPr>
          <w:p>
            <w:pPr>
              <w:pStyle w:val="12"/>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举办制品录制的活动次数</w:t>
            </w:r>
          </w:p>
        </w:tc>
        <w:tc>
          <w:tcPr>
            <w:tcW w:w="5386" w:type="dxa"/>
            <w:vAlign w:val="center"/>
          </w:tcPr>
          <w:p>
            <w:pPr>
              <w:pStyle w:val="12"/>
            </w:pPr>
            <w:r>
              <w:t>制品录制完成的数量</w:t>
            </w:r>
          </w:p>
        </w:tc>
        <w:tc>
          <w:tcPr>
            <w:tcW w:w="2268" w:type="dxa"/>
            <w:vAlign w:val="center"/>
          </w:tcPr>
          <w:p>
            <w:pPr>
              <w:pStyle w:val="12"/>
            </w:pPr>
            <w:r>
              <w:t>全年5件以上</w:t>
            </w:r>
          </w:p>
        </w:tc>
        <w:tc>
          <w:tcPr>
            <w:tcW w:w="1276" w:type="dxa"/>
            <w:vAlign w:val="center"/>
          </w:tcPr>
          <w:p>
            <w:pPr>
              <w:pStyle w:val="12"/>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做好社会宣传，确保达到预期效果</w:t>
            </w:r>
          </w:p>
        </w:tc>
        <w:tc>
          <w:tcPr>
            <w:tcW w:w="5386" w:type="dxa"/>
            <w:vAlign w:val="center"/>
          </w:tcPr>
          <w:p>
            <w:pPr>
              <w:pStyle w:val="12"/>
            </w:pPr>
            <w:r>
              <w:t>宣传制品的推介作用</w:t>
            </w:r>
          </w:p>
        </w:tc>
        <w:tc>
          <w:tcPr>
            <w:tcW w:w="2268" w:type="dxa"/>
            <w:vAlign w:val="center"/>
          </w:tcPr>
          <w:p>
            <w:pPr>
              <w:pStyle w:val="12"/>
            </w:pPr>
            <w:r>
              <w:t>周边地区及全区范围推介</w:t>
            </w:r>
          </w:p>
        </w:tc>
        <w:tc>
          <w:tcPr>
            <w:tcW w:w="1276" w:type="dxa"/>
            <w:vAlign w:val="center"/>
          </w:tcPr>
          <w:p>
            <w:pPr>
              <w:pStyle w:val="12"/>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及时快速完成制品，有时间性</w:t>
            </w:r>
          </w:p>
        </w:tc>
        <w:tc>
          <w:tcPr>
            <w:tcW w:w="5386" w:type="dxa"/>
            <w:vAlign w:val="center"/>
          </w:tcPr>
          <w:p>
            <w:pPr>
              <w:pStyle w:val="12"/>
            </w:pPr>
            <w:r>
              <w:t>及时、便捷</w:t>
            </w:r>
          </w:p>
        </w:tc>
        <w:tc>
          <w:tcPr>
            <w:tcW w:w="2268" w:type="dxa"/>
            <w:vAlign w:val="center"/>
          </w:tcPr>
          <w:p>
            <w:pPr>
              <w:pStyle w:val="12"/>
            </w:pPr>
            <w:r>
              <w:t>及时快速有效，确保预期时间</w:t>
            </w:r>
          </w:p>
        </w:tc>
        <w:tc>
          <w:tcPr>
            <w:tcW w:w="1276" w:type="dxa"/>
            <w:vAlign w:val="center"/>
          </w:tcPr>
          <w:p>
            <w:pPr>
              <w:pStyle w:val="12"/>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制作制品的花费控制情况</w:t>
            </w:r>
          </w:p>
        </w:tc>
        <w:tc>
          <w:tcPr>
            <w:tcW w:w="5386" w:type="dxa"/>
            <w:vAlign w:val="center"/>
          </w:tcPr>
          <w:p>
            <w:pPr>
              <w:pStyle w:val="12"/>
            </w:pPr>
            <w:r>
              <w:t>确保达到预期效果，更多人关注、参与</w:t>
            </w:r>
          </w:p>
        </w:tc>
        <w:tc>
          <w:tcPr>
            <w:tcW w:w="2268" w:type="dxa"/>
            <w:vAlign w:val="center"/>
          </w:tcPr>
          <w:p>
            <w:pPr>
              <w:pStyle w:val="12"/>
            </w:pPr>
            <w:r>
              <w:t>≥95%</w:t>
            </w:r>
          </w:p>
        </w:tc>
        <w:tc>
          <w:tcPr>
            <w:tcW w:w="1276" w:type="dxa"/>
            <w:vAlign w:val="center"/>
          </w:tcPr>
          <w:p>
            <w:pPr>
              <w:pStyle w:val="12"/>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宣传制品作用性</w:t>
            </w:r>
          </w:p>
        </w:tc>
        <w:tc>
          <w:tcPr>
            <w:tcW w:w="5386" w:type="dxa"/>
            <w:vAlign w:val="center"/>
          </w:tcPr>
          <w:p>
            <w:pPr>
              <w:pStyle w:val="12"/>
            </w:pPr>
            <w:r>
              <w:t>深入贯彻上级关于文化精神，推介反映丰南文化，更多人参与丰南文化</w:t>
            </w:r>
          </w:p>
        </w:tc>
        <w:tc>
          <w:tcPr>
            <w:tcW w:w="2268" w:type="dxa"/>
            <w:vAlign w:val="center"/>
          </w:tcPr>
          <w:p>
            <w:pPr>
              <w:pStyle w:val="12"/>
            </w:pPr>
            <w:r>
              <w:t>关注人数达数万人次</w:t>
            </w:r>
          </w:p>
        </w:tc>
        <w:tc>
          <w:tcPr>
            <w:tcW w:w="1276" w:type="dxa"/>
            <w:vAlign w:val="center"/>
          </w:tcPr>
          <w:p>
            <w:pPr>
              <w:pStyle w:val="12"/>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吸引外界关注度</w:t>
            </w:r>
          </w:p>
        </w:tc>
        <w:tc>
          <w:tcPr>
            <w:tcW w:w="5386" w:type="dxa"/>
            <w:vAlign w:val="center"/>
          </w:tcPr>
          <w:p>
            <w:pPr>
              <w:pStyle w:val="12"/>
            </w:pPr>
            <w:r>
              <w:t>激发鼓励更多的文化爱好者积极参与</w:t>
            </w:r>
          </w:p>
        </w:tc>
        <w:tc>
          <w:tcPr>
            <w:tcW w:w="2268" w:type="dxa"/>
            <w:vAlign w:val="center"/>
          </w:tcPr>
          <w:p>
            <w:pPr>
              <w:pStyle w:val="12"/>
            </w:pPr>
            <w:r>
              <w:t>吸引群众参与人数达8000人次</w:t>
            </w:r>
          </w:p>
        </w:tc>
        <w:tc>
          <w:tcPr>
            <w:tcW w:w="1276" w:type="dxa"/>
            <w:vAlign w:val="center"/>
          </w:tcPr>
          <w:p>
            <w:pPr>
              <w:pStyle w:val="12"/>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促进作用，积极推动作用</w:t>
            </w:r>
          </w:p>
        </w:tc>
        <w:tc>
          <w:tcPr>
            <w:tcW w:w="5386" w:type="dxa"/>
            <w:vAlign w:val="center"/>
          </w:tcPr>
          <w:p>
            <w:pPr>
              <w:pStyle w:val="12"/>
            </w:pPr>
            <w:r>
              <w:t>保障正常进行，吸引更多群众参与</w:t>
            </w:r>
          </w:p>
        </w:tc>
        <w:tc>
          <w:tcPr>
            <w:tcW w:w="2268" w:type="dxa"/>
            <w:vAlign w:val="center"/>
          </w:tcPr>
          <w:p>
            <w:pPr>
              <w:pStyle w:val="12"/>
            </w:pPr>
            <w:r>
              <w:t>逐年配合中心有相应的宣传制品</w:t>
            </w:r>
          </w:p>
        </w:tc>
        <w:tc>
          <w:tcPr>
            <w:tcW w:w="1276" w:type="dxa"/>
            <w:vAlign w:val="center"/>
          </w:tcPr>
          <w:p>
            <w:pPr>
              <w:pStyle w:val="12"/>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群众对类似宣传的满意程度</w:t>
            </w:r>
          </w:p>
        </w:tc>
        <w:tc>
          <w:tcPr>
            <w:tcW w:w="2268" w:type="dxa"/>
            <w:vAlign w:val="center"/>
          </w:tcPr>
          <w:p>
            <w:pPr>
              <w:pStyle w:val="12"/>
            </w:pPr>
            <w:r>
              <w:t>≥95%</w:t>
            </w:r>
          </w:p>
        </w:tc>
        <w:tc>
          <w:tcPr>
            <w:tcW w:w="1276" w:type="dxa"/>
            <w:vAlign w:val="center"/>
          </w:tcPr>
          <w:p>
            <w:pPr>
              <w:pStyle w:val="12"/>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7、提前下达2024年中央补助地方美术馆公共图书馆文化馆（站）免费开放补助资金（唐财教[2023]79号）绩效目标表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13020724P00406B10011K</w:t>
            </w:r>
          </w:p>
        </w:tc>
        <w:tc>
          <w:tcPr>
            <w:tcW w:w="2835" w:type="dxa"/>
            <w:vAlign w:val="center"/>
          </w:tcPr>
          <w:p>
            <w:pPr>
              <w:pStyle w:val="10"/>
            </w:pPr>
            <w:r>
              <w:t>项目名称</w:t>
            </w:r>
          </w:p>
        </w:tc>
        <w:tc>
          <w:tcPr>
            <w:tcW w:w="6094" w:type="dxa"/>
            <w:gridSpan w:val="3"/>
            <w:vAlign w:val="center"/>
          </w:tcPr>
          <w:p>
            <w:pPr>
              <w:pStyle w:val="12"/>
            </w:pPr>
            <w:r>
              <w:t>提前下达2024年中央补助地方美术馆公共图书馆文化馆（站）免费开放补助资金（唐财教[2023]79号）</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10.80</w:t>
            </w:r>
          </w:p>
        </w:tc>
        <w:tc>
          <w:tcPr>
            <w:tcW w:w="2835" w:type="dxa"/>
            <w:vAlign w:val="center"/>
          </w:tcPr>
          <w:p>
            <w:pPr>
              <w:pStyle w:val="10"/>
            </w:pPr>
            <w:r>
              <w:t>其中：财政    资金</w:t>
            </w:r>
          </w:p>
        </w:tc>
        <w:tc>
          <w:tcPr>
            <w:tcW w:w="2551" w:type="dxa"/>
            <w:vAlign w:val="center"/>
          </w:tcPr>
          <w:p>
            <w:pPr>
              <w:pStyle w:val="12"/>
            </w:pPr>
            <w:r>
              <w:t>10.80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根据河北省财政厅《关于提前下达2024年中央补助地方美术馆、公共图书馆、文化馆（站）免费开放补助资金预算的通知》（唐财教[2023]79号）文件，大力实施文化馆艺术展厅、书画室、乐学园、艺术沙龙、剧院大小剧场免费对外开放服务，同时举办公益性群众活动。资金主要用于印刷费2.5万元、维修（护）费2万元、租赁费0.5万元、专用材料费2.2万元、劳务费2万元、委托业务费0.3万元、其他商品和服务支出1.3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10%</w:t>
            </w:r>
          </w:p>
        </w:tc>
        <w:tc>
          <w:tcPr>
            <w:tcW w:w="2835" w:type="dxa"/>
            <w:vAlign w:val="center"/>
          </w:tcPr>
          <w:p>
            <w:pPr>
              <w:pStyle w:val="13"/>
            </w:pPr>
            <w:r>
              <w:t>50%</w:t>
            </w:r>
          </w:p>
        </w:tc>
        <w:tc>
          <w:tcPr>
            <w:tcW w:w="2551" w:type="dxa"/>
            <w:vAlign w:val="center"/>
          </w:tcPr>
          <w:p>
            <w:pPr>
              <w:pStyle w:val="13"/>
            </w:pPr>
            <w:r>
              <w:t>90%</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1.组织各类培训、辅导、研讨等小型活动不低于20场次；搞好宣传展示10次，丰富和活跃群众文化生活，满足各类人群文化需求。</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群众参与免费开放文化活动的人次</w:t>
            </w:r>
          </w:p>
        </w:tc>
        <w:tc>
          <w:tcPr>
            <w:tcW w:w="5386" w:type="dxa"/>
            <w:vAlign w:val="center"/>
          </w:tcPr>
          <w:p>
            <w:pPr>
              <w:pStyle w:val="12"/>
            </w:pPr>
            <w:r>
              <w:t>全年群众参与文化活动的人次</w:t>
            </w:r>
          </w:p>
        </w:tc>
        <w:tc>
          <w:tcPr>
            <w:tcW w:w="2268" w:type="dxa"/>
            <w:vAlign w:val="center"/>
          </w:tcPr>
          <w:p>
            <w:pPr>
              <w:pStyle w:val="12"/>
            </w:pPr>
            <w:r>
              <w:t>≥3000人</w:t>
            </w:r>
          </w:p>
        </w:tc>
        <w:tc>
          <w:tcPr>
            <w:tcW w:w="1276" w:type="dxa"/>
            <w:vAlign w:val="center"/>
          </w:tcPr>
          <w:p>
            <w:pPr>
              <w:pStyle w:val="12"/>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举办免费开放活动次数</w:t>
            </w:r>
          </w:p>
        </w:tc>
        <w:tc>
          <w:tcPr>
            <w:tcW w:w="5386" w:type="dxa"/>
            <w:vAlign w:val="center"/>
          </w:tcPr>
          <w:p>
            <w:pPr>
              <w:pStyle w:val="12"/>
            </w:pPr>
            <w:r>
              <w:t>全年举办免费开放的次数</w:t>
            </w:r>
          </w:p>
        </w:tc>
        <w:tc>
          <w:tcPr>
            <w:tcW w:w="2268" w:type="dxa"/>
            <w:vAlign w:val="center"/>
          </w:tcPr>
          <w:p>
            <w:pPr>
              <w:pStyle w:val="12"/>
            </w:pPr>
            <w:r>
              <w:t>≥20场</w:t>
            </w:r>
          </w:p>
        </w:tc>
        <w:tc>
          <w:tcPr>
            <w:tcW w:w="1276" w:type="dxa"/>
            <w:vAlign w:val="center"/>
          </w:tcPr>
          <w:p>
            <w:pPr>
              <w:pStyle w:val="12"/>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做好全年免费开放服务群众</w:t>
            </w:r>
          </w:p>
        </w:tc>
        <w:tc>
          <w:tcPr>
            <w:tcW w:w="5386" w:type="dxa"/>
            <w:vAlign w:val="center"/>
          </w:tcPr>
          <w:p>
            <w:pPr>
              <w:pStyle w:val="12"/>
            </w:pPr>
            <w:r>
              <w:t>做好服务、搞好辅导及培训、挖掘非遗项目</w:t>
            </w:r>
          </w:p>
        </w:tc>
        <w:tc>
          <w:tcPr>
            <w:tcW w:w="2268" w:type="dxa"/>
            <w:vAlign w:val="center"/>
          </w:tcPr>
          <w:p>
            <w:pPr>
              <w:pStyle w:val="12"/>
            </w:pPr>
            <w:r>
              <w:t>全年免费开放线上线下辅导、培训40班次，群众满意。</w:t>
            </w:r>
          </w:p>
        </w:tc>
        <w:tc>
          <w:tcPr>
            <w:tcW w:w="1276" w:type="dxa"/>
            <w:vAlign w:val="center"/>
          </w:tcPr>
          <w:p>
            <w:pPr>
              <w:pStyle w:val="12"/>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完成率</w:t>
            </w:r>
          </w:p>
        </w:tc>
        <w:tc>
          <w:tcPr>
            <w:tcW w:w="5386" w:type="dxa"/>
            <w:vAlign w:val="center"/>
          </w:tcPr>
          <w:p>
            <w:pPr>
              <w:pStyle w:val="12"/>
            </w:pPr>
            <w:r>
              <w:t>免费开放活动完成的及时程度</w:t>
            </w:r>
          </w:p>
        </w:tc>
        <w:tc>
          <w:tcPr>
            <w:tcW w:w="2268" w:type="dxa"/>
            <w:vAlign w:val="center"/>
          </w:tcPr>
          <w:p>
            <w:pPr>
              <w:pStyle w:val="12"/>
            </w:pPr>
            <w:r>
              <w:t>及时快速有效开展免费开放活动，确保实效性。</w:t>
            </w:r>
          </w:p>
        </w:tc>
        <w:tc>
          <w:tcPr>
            <w:tcW w:w="1276" w:type="dxa"/>
            <w:vAlign w:val="center"/>
          </w:tcPr>
          <w:p>
            <w:pPr>
              <w:pStyle w:val="12"/>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活动所需设施设备</w:t>
            </w:r>
          </w:p>
        </w:tc>
        <w:tc>
          <w:tcPr>
            <w:tcW w:w="5386" w:type="dxa"/>
            <w:vAlign w:val="center"/>
          </w:tcPr>
          <w:p>
            <w:pPr>
              <w:pStyle w:val="12"/>
            </w:pPr>
            <w:r>
              <w:t>确保免费开放正常进行达到预期效果</w:t>
            </w:r>
          </w:p>
        </w:tc>
        <w:tc>
          <w:tcPr>
            <w:tcW w:w="2268" w:type="dxa"/>
            <w:vAlign w:val="center"/>
          </w:tcPr>
          <w:p>
            <w:pPr>
              <w:pStyle w:val="12"/>
            </w:pPr>
            <w:r>
              <w:t>≥95%</w:t>
            </w:r>
          </w:p>
        </w:tc>
        <w:tc>
          <w:tcPr>
            <w:tcW w:w="1276" w:type="dxa"/>
            <w:vAlign w:val="center"/>
          </w:tcPr>
          <w:p>
            <w:pPr>
              <w:pStyle w:val="12"/>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活动费用的发挥率</w:t>
            </w:r>
          </w:p>
        </w:tc>
        <w:tc>
          <w:tcPr>
            <w:tcW w:w="5386" w:type="dxa"/>
            <w:vAlign w:val="center"/>
          </w:tcPr>
          <w:p>
            <w:pPr>
              <w:pStyle w:val="12"/>
            </w:pPr>
            <w:r>
              <w:t>确保免费开放正常进行吸引更多群众积极参与</w:t>
            </w:r>
          </w:p>
        </w:tc>
        <w:tc>
          <w:tcPr>
            <w:tcW w:w="2268" w:type="dxa"/>
            <w:vAlign w:val="center"/>
          </w:tcPr>
          <w:p>
            <w:pPr>
              <w:pStyle w:val="12"/>
            </w:pPr>
            <w:r>
              <w:t>全年开展各类线上、线下活动，吸引群众近20万人次。</w:t>
            </w:r>
          </w:p>
        </w:tc>
        <w:tc>
          <w:tcPr>
            <w:tcW w:w="1276" w:type="dxa"/>
            <w:vAlign w:val="center"/>
          </w:tcPr>
          <w:p>
            <w:pPr>
              <w:pStyle w:val="12"/>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参与免费开放活动人数</w:t>
            </w:r>
          </w:p>
        </w:tc>
        <w:tc>
          <w:tcPr>
            <w:tcW w:w="5386" w:type="dxa"/>
            <w:vAlign w:val="center"/>
          </w:tcPr>
          <w:p>
            <w:pPr>
              <w:pStyle w:val="12"/>
            </w:pPr>
            <w:r>
              <w:t>激发更多群众积极参与群众文化活动</w:t>
            </w:r>
          </w:p>
        </w:tc>
        <w:tc>
          <w:tcPr>
            <w:tcW w:w="2268" w:type="dxa"/>
            <w:vAlign w:val="center"/>
          </w:tcPr>
          <w:p>
            <w:pPr>
              <w:pStyle w:val="12"/>
            </w:pPr>
            <w:r>
              <w:t>群众参与热情高涨，全年线上线下参与者达2500人次。</w:t>
            </w:r>
          </w:p>
        </w:tc>
        <w:tc>
          <w:tcPr>
            <w:tcW w:w="1276" w:type="dxa"/>
            <w:vAlign w:val="center"/>
          </w:tcPr>
          <w:p>
            <w:pPr>
              <w:pStyle w:val="12"/>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保障文化事业蓬勃发展</w:t>
            </w:r>
          </w:p>
        </w:tc>
        <w:tc>
          <w:tcPr>
            <w:tcW w:w="5386" w:type="dxa"/>
            <w:vAlign w:val="center"/>
          </w:tcPr>
          <w:p>
            <w:pPr>
              <w:pStyle w:val="12"/>
            </w:pPr>
            <w:r>
              <w:t>保障免费开放工作正常顺利进行</w:t>
            </w:r>
          </w:p>
        </w:tc>
        <w:tc>
          <w:tcPr>
            <w:tcW w:w="2268" w:type="dxa"/>
            <w:vAlign w:val="center"/>
          </w:tcPr>
          <w:p>
            <w:pPr>
              <w:pStyle w:val="12"/>
            </w:pPr>
            <w:r>
              <w:t>工作有条不紊，正常进行。</w:t>
            </w:r>
          </w:p>
        </w:tc>
        <w:tc>
          <w:tcPr>
            <w:tcW w:w="1276" w:type="dxa"/>
            <w:vAlign w:val="center"/>
          </w:tcPr>
          <w:p>
            <w:pPr>
              <w:pStyle w:val="12"/>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受益群众对免费开放的满意程度</w:t>
            </w:r>
          </w:p>
        </w:tc>
        <w:tc>
          <w:tcPr>
            <w:tcW w:w="2268" w:type="dxa"/>
            <w:vAlign w:val="center"/>
          </w:tcPr>
          <w:p>
            <w:pPr>
              <w:pStyle w:val="12"/>
            </w:pPr>
            <w:r>
              <w:t>≥95%</w:t>
            </w:r>
          </w:p>
        </w:tc>
        <w:tc>
          <w:tcPr>
            <w:tcW w:w="1276" w:type="dxa"/>
            <w:vAlign w:val="center"/>
          </w:tcPr>
          <w:p>
            <w:pPr>
              <w:pStyle w:val="12"/>
            </w:pPr>
            <w:r>
              <w:t>问卷调查</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408001唐山市丰南区文化馆本级</w:t>
            </w:r>
          </w:p>
        </w:tc>
        <w:tc>
          <w:tcPr>
            <w:tcW w:w="7710"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6" w:type="dxa"/>
            <w:gridSpan w:val="7"/>
            <w:vAlign w:val="center"/>
          </w:tcPr>
          <w:p>
            <w:pPr>
              <w:pStyle w:val="10"/>
            </w:pPr>
            <w:r>
              <w:t>政府采购金额（当年部门预算安排资金）</w:t>
            </w:r>
          </w:p>
        </w:tc>
        <w:tc>
          <w:tcPr>
            <w:tcW w:w="964" w:type="dxa"/>
            <w:vMerge w:val="restart"/>
            <w:vAlign w:val="center"/>
          </w:tcPr>
          <w:p>
            <w:pPr>
              <w:pStyle w:val="10"/>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唐山市丰南区文化馆本级上年末固定资产金额为665.29万元（详见下表）。本年度拟购置固定资产总额为0.00万元，已按要求列入政府采购预算，详见政府采购预算表。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408001唐山市丰南区文化馆本级</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665.29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1</w:t>
            </w:r>
          </w:p>
        </w:tc>
        <w:tc>
          <w:tcPr>
            <w:tcW w:w="2835" w:type="dxa"/>
            <w:vAlign w:val="center"/>
          </w:tcPr>
          <w:p>
            <w:pPr>
              <w:pStyle w:val="11"/>
            </w:pPr>
            <w:r>
              <w:t>54.30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2</w:t>
            </w:r>
          </w:p>
        </w:tc>
        <w:tc>
          <w:tcPr>
            <w:tcW w:w="2835" w:type="dxa"/>
            <w:vAlign w:val="center"/>
          </w:tcPr>
          <w:p>
            <w:pPr>
              <w:pStyle w:val="11"/>
            </w:pPr>
            <w:r>
              <w:t>610.99</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093EFA"/>
    <w:rsid w:val="63193D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2024-02-19T09:11:53Z</dcterms:created>
  <dcterms:modified xsi:type="dcterms:W3CDTF">2024-02-19T01:11:53Z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2024-02-19T09:11:52Z</dcterms:created>
  <dcterms:modified xsi:type="dcterms:W3CDTF">2024-02-19T01:11:52Z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2024-02-19T09:11:52Z</dcterms:created>
  <dcterms:modified xsi:type="dcterms:W3CDTF">2024-02-19T01:11:52Z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2024-02-19T09:11:50Z</dcterms:created>
  <dcterms:modified xsi:type="dcterms:W3CDTF">2024-02-19T01:11:50Z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2024-02-19T09:11:55Z</dcterms:created>
  <dcterms:modified xsi:type="dcterms:W3CDTF">2024-02-19T01:11:55Z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2024-02-19T09:11:54Z</dcterms:created>
  <dcterms:modified xsi:type="dcterms:W3CDTF">2024-02-19T01:11:54Z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2024-02-19T09:11:54Z</dcterms:created>
  <dcterms:modified xsi:type="dcterms:W3CDTF">2024-02-19T01:11:54Z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2024-02-19T09:11:54Z</dcterms:created>
  <dcterms:modified xsi:type="dcterms:W3CDTF">2024-02-19T01:11:53Z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2024-02-19T09:11:53Z</dcterms:created>
  <dcterms:modified xsi:type="dcterms:W3CDTF">2024-02-19T01:11:53Z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2024-02-19T09:11:46Z</dcterms:created>
  <dcterms:modified xsi:type="dcterms:W3CDTF">2024-02-19T01:11:46Z</dcterms:modified>
</cp:coreProperties>
</file>

<file path=customXml/itemProps1.xml><?xml version="1.0" encoding="utf-8"?>
<ds:datastoreItem xmlns:ds="http://schemas.openxmlformats.org/officeDocument/2006/customXml" ds:itemID="{23553aec-ffd0-43f6-8634-b9cdc561fcd8}">
  <ds:schemaRefs/>
</ds:datastoreItem>
</file>

<file path=customXml/itemProps2.xml><?xml version="1.0" encoding="utf-8"?>
<ds:datastoreItem xmlns:ds="http://schemas.openxmlformats.org/officeDocument/2006/customXml" ds:itemID="{d6d4547d-21ed-41e2-909f-43531db633e7}">
  <ds:schemaRefs/>
</ds:datastoreItem>
</file>

<file path=customXml/itemProps3.xml><?xml version="1.0" encoding="utf-8"?>
<ds:datastoreItem xmlns:ds="http://schemas.openxmlformats.org/officeDocument/2006/customXml" ds:itemID="{c9160a1e-1ff0-4d16-8f70-613bb0856462}">
  <ds:schemaRefs/>
</ds:datastoreItem>
</file>

<file path=customXml/itemProps4.xml><?xml version="1.0" encoding="utf-8"?>
<ds:datastoreItem xmlns:ds="http://schemas.openxmlformats.org/officeDocument/2006/customXml" ds:itemID="{3bd6d89c-d82e-4533-929b-17dfb3f36629}">
  <ds:schemaRefs/>
</ds:datastoreItem>
</file>

<file path=customXml/itemProps5.xml><?xml version="1.0" encoding="utf-8"?>
<ds:datastoreItem xmlns:ds="http://schemas.openxmlformats.org/officeDocument/2006/customXml" ds:itemID="{da54f4b6-f107-49cd-a233-a16d9658c517}">
  <ds:schemaRefs/>
</ds:datastoreItem>
</file>

<file path=customXml/itemProps6.xml><?xml version="1.0" encoding="utf-8"?>
<ds:datastoreItem xmlns:ds="http://schemas.openxmlformats.org/officeDocument/2006/customXml" ds:itemID="{a945c612-ad76-448a-b206-fa959d30d80c}">
  <ds:schemaRefs/>
</ds:datastoreItem>
</file>

<file path=customXml/itemProps7.xml><?xml version="1.0" encoding="utf-8"?>
<ds:datastoreItem xmlns:ds="http://schemas.openxmlformats.org/officeDocument/2006/customXml" ds:itemID="{b584dfd5-78cb-4de2-bd25-5e102e1191ef}">
  <ds:schemaRefs/>
</ds:datastoreItem>
</file>

<file path=customXml/itemProps8.xml><?xml version="1.0" encoding="utf-8"?>
<ds:datastoreItem xmlns:ds="http://schemas.openxmlformats.org/officeDocument/2006/customXml" ds:itemID="{dd7e8ea6-5e6d-42d7-89a0-b12b7639684c}">
  <ds:schemaRefs/>
</ds:datastoreItem>
</file>

<file path=customXml/itemProps9.xml><?xml version="1.0" encoding="utf-8"?>
<ds:datastoreItem xmlns:ds="http://schemas.openxmlformats.org/officeDocument/2006/customXml" ds:itemID="{f4e6ad0a-c489-4cf9-96e5-373900086d7d}">
  <ds:schemaRefs/>
</ds:datastoreItem>
</file>

<file path=customXml/itemProps10.xml><?xml version="1.0" encoding="utf-8"?>
<ds:datastoreItem xmlns:ds="http://schemas.openxmlformats.org/officeDocument/2006/customXml" ds:itemID="{62bb129d-0d78-4b1e-8c8b-791e635664d3}">
  <ds:schemaRefs/>
</ds:datastoreItem>
</file>

<file path=customXml/itemProps11.xml><?xml version="1.0" encoding="utf-8"?>
<ds:datastoreItem xmlns:ds="http://schemas.openxmlformats.org/officeDocument/2006/customXml" ds:itemID="{41f7a011-f520-4cde-a2e7-413de5362788}">
  <ds:schemaRefs/>
</ds:datastoreItem>
</file>

<file path=customXml/itemProps12.xml><?xml version="1.0" encoding="utf-8"?>
<ds:datastoreItem xmlns:ds="http://schemas.openxmlformats.org/officeDocument/2006/customXml" ds:itemID="{158a16ee-44df-4d14-8166-714b9f4c7cf6}">
  <ds:schemaRefs/>
</ds:datastoreItem>
</file>

<file path=customXml/itemProps13.xml><?xml version="1.0" encoding="utf-8"?>
<ds:datastoreItem xmlns:ds="http://schemas.openxmlformats.org/officeDocument/2006/customXml" ds:itemID="{ca400d5b-5dbe-4bf9-8c7c-137c5024e742}">
  <ds:schemaRefs/>
</ds:datastoreItem>
</file>

<file path=customXml/itemProps14.xml><?xml version="1.0" encoding="utf-8"?>
<ds:datastoreItem xmlns:ds="http://schemas.openxmlformats.org/officeDocument/2006/customXml" ds:itemID="{5ee3c5b4-b05d-4c3d-b7ca-7bdb005cb715}">
  <ds:schemaRefs/>
</ds:datastoreItem>
</file>

<file path=customXml/itemProps15.xml><?xml version="1.0" encoding="utf-8"?>
<ds:datastoreItem xmlns:ds="http://schemas.openxmlformats.org/officeDocument/2006/customXml" ds:itemID="{17d4b358-a9dc-436c-b89c-b9e4f9e1c7ee}">
  <ds:schemaRefs/>
</ds:datastoreItem>
</file>

<file path=customXml/itemProps16.xml><?xml version="1.0" encoding="utf-8"?>
<ds:datastoreItem xmlns:ds="http://schemas.openxmlformats.org/officeDocument/2006/customXml" ds:itemID="{d334f85d-8d06-4b0f-86ea-48cffee28ac5}">
  <ds:schemaRefs/>
</ds:datastoreItem>
</file>

<file path=customXml/itemProps17.xml><?xml version="1.0" encoding="utf-8"?>
<ds:datastoreItem xmlns:ds="http://schemas.openxmlformats.org/officeDocument/2006/customXml" ds:itemID="{f9c76d0a-3fac-4819-a5a2-280c497b1633}">
  <ds:schemaRefs/>
</ds:datastoreItem>
</file>

<file path=customXml/itemProps18.xml><?xml version="1.0" encoding="utf-8"?>
<ds:datastoreItem xmlns:ds="http://schemas.openxmlformats.org/officeDocument/2006/customXml" ds:itemID="{5e6b464a-507b-48b3-9acf-61b02bfcf8cb}">
  <ds:schemaRefs/>
</ds:datastoreItem>
</file>

<file path=customXml/itemProps19.xml><?xml version="1.0" encoding="utf-8"?>
<ds:datastoreItem xmlns:ds="http://schemas.openxmlformats.org/officeDocument/2006/customXml" ds:itemID="{e3bc2f85-e222-471f-9ee8-bd803e3abd77}">
  <ds:schemaRefs/>
</ds:datastoreItem>
</file>

<file path=customXml/itemProps20.xml><?xml version="1.0" encoding="utf-8"?>
<ds:datastoreItem xmlns:ds="http://schemas.openxmlformats.org/officeDocument/2006/customXml" ds:itemID="{e53e1a5e-61e6-4baa-aefd-d15de8abd2d6}">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Office_12.1.0.15712_F1E327BC-269C-435d-A152-05C5408002CA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2024-02-19T09:11:00Z</dcterms:created>
  <dc:creator>admin</dc:creator>
  <cp:lastModifiedBy>admin</cp:lastModifiedBy>
  <dcterms:modified xsi:type="dcterms:W3CDTF">2024-02-19T01:12:51Z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3F1103AA3854434BA627504AD0D0CAFF_13</vt:lpwstr>
  </property>
</Properties>
</file>