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xlsx" ContentType="application/vnd.openxmlformats-officedocument.spreadsheetml.sheet"/>
  <Override PartName="/word/settings.xml" ContentType="application/vnd.openxmlformats-officedocument.wordprocessingml.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widowControl/>
        <w:jc w:val="center"/>
        <w:rPr>
          <w:rFonts w:ascii="黑体" w:eastAsia="黑体"/>
          <w:b/>
          <w:sz w:val="72"/>
          <w:szCs w:val="72"/>
        </w:rPr>
      </w:pPr>
      <w:r>
        <w:rPr>
          <w:rFonts w:ascii="黑体" w:eastAsia="黑体" w:hint="eastAsia"/>
          <w:color w:val="002060"/>
          <w:sz w:val="72"/>
          <w:szCs w:val="72"/>
        </w:rPr>
        <w:drawing>
          <wp:anchor distT="0" distB="0" distL="0" distR="0" simplePos="0" relativeHeight="2" behindDoc="1" locked="0" layoutInCell="1" hidden="0" allowOverlap="1">
            <wp:simplePos x="0" y="0"/>
            <wp:positionH relativeFrom="column">
              <wp:posOffset>-1000124</wp:posOffset>
            </wp:positionH>
            <wp:positionV relativeFrom="paragraph">
              <wp:posOffset>-1355090</wp:posOffset>
            </wp:positionV>
            <wp:extent cx="7576819" cy="10796905"/>
            <wp:effectExtent l="0" t="0" r="0" b="0"/>
            <wp:wrapNone/>
            <wp:docPr id="1" name="图片 7"/>
            <wp:cNvGraphicFramePr>
              <a:graphicFrameLocks noChangeAspect="0"/>
            </wp:cNvGraphicFramePr>
            <a:graphic>
              <a:graphicData uri="http://schemas.openxmlformats.org/drawingml/2006/picture">
                <pic:pic>
                  <pic:nvPicPr>
                    <pic:cNvPr id="3" name="图片 7 3"/>
                    <pic:cNvPicPr/>
                  </pic:nvPicPr>
                  <pic:blipFill>
                    <a:blip r:embed="rId2"/>
                    <a:stretch>
                      <a:fillRect/>
                    </a:stretch>
                  </pic:blipFill>
                  <pic:spPr>
                    <a:xfrm rot="0">
                      <a:off x="0" y="0"/>
                      <a:ext cx="7576819" cy="10796905"/>
                    </a:xfrm>
                    <a:prstGeom prst="rect"/>
                    <a:noFill/>
                    <a:ln w="9525" cmpd="sng" cap="flat">
                      <a:noFill/>
                      <a:prstDash val="solid"/>
                      <a:miter/>
                    </a:ln>
                  </pic:spPr>
                </pic:pic>
              </a:graphicData>
            </a:graphic>
          </wp:anchor>
        </w:drawing>
      </w:r>
    </w:p>
    <w:p>
      <w:pPr>
        <w:widowControl/>
        <w:jc w:val="center"/>
        <w:rPr>
          <w:rFonts w:ascii="黑体" w:eastAsia="黑体"/>
          <w:color w:val="002060"/>
          <w:sz w:val="72"/>
          <w:szCs w:val="72"/>
        </w:rPr>
      </w:pPr>
      <w:r>
        <w:rPr>
          <w:sz w:val="72"/>
        </w:rPr>
        <mc:AlternateContent>
          <mc:Choice Requires="wps">
            <w:drawing>
              <wp:anchor distT="0" distB="0" distL="91438" distR="91438" simplePos="0" relativeHeight="69" behindDoc="0" locked="0" layoutInCell="1" hidden="0" allowOverlap="1">
                <wp:simplePos x="0" y="0"/>
                <wp:positionH relativeFrom="column">
                  <wp:posOffset>-1055370</wp:posOffset>
                </wp:positionH>
                <wp:positionV relativeFrom="paragraph">
                  <wp:posOffset>549275</wp:posOffset>
                </wp:positionV>
                <wp:extent cx="7571740" cy="2111375"/>
                <wp:effectExtent l="0" t="0" r="0" b="0"/>
                <wp:wrapNone/>
                <wp:docPr id="4" name="1027"/>
                <wp:cNvGraphicFramePr>
                  <a:graphicFrameLocks noChangeAspect="0"/>
                </wp:cNvGraphicFramePr>
                <a:graphic>
                  <a:graphicData uri="http://schemas.microsoft.com/office/word/2010/wordprocessingShape">
                    <wps:wsp>
                      <wps:cNvSpPr/>
                      <wps:spPr>
                        <a:xfrm rot="0">
                          <a:off x="0" y="0"/>
                          <a:ext cx="7571740" cy="2111375"/>
                        </a:xfrm>
                        <a:prstGeom prst="rect"/>
                        <a:noFill/>
                        <a:ln w="9525" cmpd="sng" cap="flat">
                          <a:noFill/>
                          <a:prstDash val="solid"/>
                          <a:miter/>
                        </a:ln>
                      </wps:spPr>
                      <wps:txbx id="5">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唐山市丰南区文化馆</w:t>
                            </w:r>
                          </w:p>
                          <w:p>
                            <w:pPr>
                              <w:widowControl/>
                              <w:spacing w:line="1200" w:lineRule="exact"/>
                              <w:jc w:val="center"/>
                              <w:rPr>
                                <w:color w:val="FDEFBE"/>
                                <w:sz w:val="96"/>
                                <w:szCs w:val="96"/>
                              </w:rPr>
                            </w:pPr>
                            <w:r>
                              <w:rPr>
                                <w:rFonts w:ascii="黑体" w:eastAsia="黑体" w:hint="eastAsia"/>
                                <w:color w:val="FDEFBE"/>
                                <w:sz w:val="96"/>
                                <w:szCs w:val="96"/>
                              </w:rPr>
                              <w:t>2018年度部门决算</w:t>
                            </w:r>
                          </w:p>
                          <w:p>
                            <w:pPr>
                              <w:rPr>
                                <w:color w:val="FDEFBE"/>
                                <w:sz w:val="96"/>
                                <w:szCs w:val="96"/>
                              </w:rPr>
                            </w:pPr>
                          </w:p>
                        </w:txbxContent>
                      </wps:txbx>
                      <wps:bodyPr vert="horz" wrap="square" lIns="91440" tIns="45720" rIns="91440" bIns="45720" anchor="t" anchorCtr="0" upright="1">
                        <a:noAutofit/>
                      </wps:bodyPr>
                    </wps:wsp>
                  </a:graphicData>
                </a:graphic>
              </wp:anchor>
            </w:drawing>
          </mc:Choice>
          <mc:Fallback>
            <w:pict>
              <v:rect type="#_x0000_t1" id="1027 6" o:spid="_x0000_s6" filled="f" stroked="f" style="position:absolute;margin-left:-83.100006pt;margin-top:43.25pt;width:596.2pt;height:166.25pt;z-index:69;mso-position-horizontal:absolute;mso-position-vertical:absolute;mso-wrap-distance-left:7.19989pt;mso-wrap-distance-right:7.19989pt;mso-wrap-style:square;">
                <v:stroke color="#000000"/>
                <v:textbox id="859" inset="2.54mm,1.27mm,2.54mm,1.27mm" o:insetmode="custom" style="layout-flow:horizontal;v-text-anchor:top;">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唐山市丰南区文化馆</w:t>
                      </w:r>
                    </w:p>
                    <w:p>
                      <w:pPr>
                        <w:widowControl/>
                        <w:spacing w:line="1200" w:lineRule="exact"/>
                        <w:jc w:val="center"/>
                        <w:rPr>
                          <w:color w:val="FDEFBE"/>
                          <w:sz w:val="96"/>
                          <w:szCs w:val="96"/>
                        </w:rPr>
                      </w:pPr>
                      <w:r>
                        <w:rPr>
                          <w:rFonts w:ascii="黑体" w:eastAsia="黑体" w:hint="eastAsia"/>
                          <w:color w:val="FDEFBE"/>
                          <w:sz w:val="96"/>
                          <w:szCs w:val="96"/>
                        </w:rPr>
                        <w:t>2018年度部门决算</w:t>
                      </w:r>
                    </w:p>
                    <w:p>
                      <w:pPr>
                        <w:rPr>
                          <w:color w:val="FDEFBE"/>
                          <w:sz w:val="96"/>
                          <w:szCs w:val="96"/>
                        </w:rPr>
                      </w:pPr>
                    </w:p>
                  </w:txbxContent>
                </v:textbox>
              </v:rect>
            </w:pict>
          </mc:Fallback>
        </mc:AlternateContent>
      </w: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黑体" w:eastAsia="黑体"/>
          <w:b/>
          <w:sz w:val="72"/>
          <w:szCs w:val="72"/>
        </w:rPr>
      </w:pPr>
    </w:p>
    <w:p>
      <w:pPr>
        <w:widowControl/>
        <w:jc w:val="center"/>
        <w:rPr>
          <w:rFonts w:ascii="楷体" w:eastAsia="楷体" w:cs="楷体"/>
          <w:b/>
          <w:sz w:val="44"/>
          <w:szCs w:val="44"/>
        </w:rPr>
        <w:sectPr>
          <w:pgSz w:w="11906" w:h="16838"/>
          <w:pgMar w:top="2098" w:right="1474" w:bottom="1985" w:left="1588" w:header="851" w:footer="992" w:gutter="0"/>
          <w:docGrid w:type="lines" w:linePitch="312" w:charSpace="0"/>
        </w:sectPr>
      </w:pPr>
      <w:r>
        <w:rPr>
          <w:rFonts w:ascii="楷体" w:eastAsia="楷体" w:cs="楷体" w:hint="eastAsia"/>
          <w:b/>
          <w:sz w:val="44"/>
          <w:szCs w:val="44"/>
        </w:rPr>
        <w:t>二〇一九年八月</w:t>
      </w:r>
    </w:p>
    <w:p>
      <w:pPr>
        <w:widowControl/>
        <w:jc w:val="center"/>
        <w:rPr>
          <w:rFonts w:ascii="黑体" w:eastAsia="黑体" w:cs="黑体"/>
          <w:b/>
          <w:sz w:val="44"/>
          <w:szCs w:val="44"/>
        </w:rPr>
      </w:pPr>
    </w:p>
    <w:p>
      <w:pPr>
        <w:spacing w:beforeLines="200" w:before="624" w:after="0" w:line="1000" w:lineRule="exact"/>
        <w:jc w:val="center"/>
        <w:rPr>
          <w:rFonts w:ascii="黑体" w:eastAsia="黑体"/>
          <w:sz w:val="48"/>
          <w:szCs w:val="48"/>
        </w:rPr>
      </w:pPr>
      <w:r>
        <w:rPr>
          <w:sz w:val="48"/>
          <w:szCs w:val="28"/>
        </w:rPr>
        <mc:AlternateContent>
          <mc:Choice Requires="wps">
            <w:drawing>
              <wp:anchor distT="0" distB="0" distL="91438" distR="91438" simplePos="0" relativeHeight="85" behindDoc="0" locked="1" layoutInCell="1" hidden="0" allowOverlap="1">
                <wp:simplePos x="0" y="0"/>
                <wp:positionH relativeFrom="column">
                  <wp:posOffset>-1026160</wp:posOffset>
                </wp:positionH>
                <wp:positionV relativeFrom="page">
                  <wp:posOffset>507998</wp:posOffset>
                </wp:positionV>
                <wp:extent cx="3175635" cy="593093"/>
                <wp:effectExtent l="0" t="0" r="0" b="0"/>
                <wp:wrapNone/>
                <wp:docPr id="7" name="组合"/>
                <wp:cNvGraphicFramePr>
                  <a:graphicFrameLocks noChangeAspect="0"/>
                </wp:cNvGraphicFramePr>
                <a:graphic>
                  <a:graphicData uri="http://schemas.microsoft.com/office/word/2010/wordprocessingGroup">
                    <wpg:wgp>
                      <wpg:cNvPr id="8" name="组合 8"/>
                      <wpg:cNvGrpSpPr/>
                      <wpg:grpSpPr>
                        <a:xfrm rot="0">
                          <a:off x="0" y="0"/>
                          <a:ext cx="3175635" cy="593093"/>
                          <a:chOff x="0" y="0"/>
                          <a:chExt cx="3175635" cy="593093"/>
                        </a:xfrm>
                        <a:prstGeom prst="rect"/>
                        <a:solidFill>
                          <a:srgbClr val="FFFFFF"/>
                        </a:solidFill>
                        <a:ln w="9525" cmpd="sng" cap="flat">
                          <a:solidFill>
                            <a:srgbClr val="000000"/>
                          </a:solidFill>
                          <a:prstDash val="solid"/>
                          <a:miter/>
                        </a:ln>
                      </wpg:grpSpPr>
                      <wps:wsp>
                        <wps:cNvPr id="9" name="_s13 9"/>
                        <wps:cNvSpPr/>
                        <wps:spPr>
                          <a:xfrm rot="0">
                            <a:off x="0" y="0"/>
                            <a:ext cx="3175635" cy="498478"/>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0" name="_s14 10"/>
                        <wps:cNvSpPr/>
                        <wps:spPr>
                          <a:xfrm rot="0">
                            <a:off x="10159" y="116839"/>
                            <a:ext cx="3093085" cy="476253"/>
                          </a:xfrm>
                          <a:prstGeom prst="rect"/>
                          <a:solidFill>
                            <a:srgbClr val="AD002D"/>
                          </a:solidFill>
                          <a:ln w="25400" cmpd="sng" cap="flat">
                            <a:solidFill>
                              <a:srgbClr val="AF7621"/>
                            </a:solidFill>
                            <a:prstDash val="solid"/>
                            <a:miter/>
                          </a:ln>
                        </wps:spPr>
                        <wps:txbx id="11">
                          <w:txbxContent>
                            <w:p>
                              <w:pPr>
                                <w:widowControl/>
                                <w:jc w:val="left"/>
                                <w:rPr>
                                  <w:rFonts w:ascii="楷体" w:eastAsia="楷体" w:cs="楷体"/>
                                  <w:b/>
                                  <w:bCs/>
                                  <w:color w:val="FDEFBE"/>
                                  <w:sz w:val="36"/>
                                  <w:szCs w:val="36"/>
                                </w:rPr>
                              </w:pPr>
                              <w:r>
                                <w:rPr>
                                  <w:rFonts w:ascii="楷体" w:eastAsia="楷体" w:cs="楷体" w:hint="eastAsia"/>
                                  <w:b/>
                                  <w:bCs/>
                                  <w:color w:val="FDEFBE"/>
                                  <w:kern w:val="0"/>
                                  <w:sz w:val="36"/>
                                  <w:szCs w:val="36"/>
                                </w:rPr>
                                <w:t>2018年度部门决算☞目 录</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2" o:spid="_x0000_s12" coordorigin="-28,799" coordsize="5001,934" style="position:absolute;margin-left:-80.800026pt;margin-top:39.999878pt;width:250.05pt;height:46.700264pt;z-index:85;mso-position-horizontal:absolute;mso-position-vertical:absolute;mso-position-vertical-relative:page;mso-wrap-distance-left:7.19989pt;mso-wrap-distance-right:7.19989pt;">
                <v:rect type="#_x0000_t1" id="_s13" o:spid="_x0000_s13" style="position:absolute;left:-28;top:799;width:5001;height:785;" fillcolor="#D8D8D8" stroked="f">
                  <v:stroke color="#000000"/>
                </v:rect>
                <v:rect type="#_x0000_t1" id="_s14" o:spid="_x0000_s14" style="position:absolute;left:-12;top:983;width:4871;height:750;mso-wrap-style:square;" fillcolor="#AD002D" stroked="t" strokeweight="2.0pt">
                  <v:textbox id="860" inset="2.54mm,1.27mm,2.54mm,1.27mm" o:insetmode="custom" style="layout-flow:horizontal;v-text-anchor:middle;">
                    <w:txbxContent>
                      <w:p>
                        <w:pPr>
                          <w:widowControl/>
                          <w:jc w:val="left"/>
                          <w:rPr>
                            <w:rFonts w:ascii="楷体" w:eastAsia="楷体" w:cs="楷体"/>
                            <w:b/>
                            <w:bCs/>
                            <w:color w:val="FDEFBE"/>
                            <w:sz w:val="36"/>
                            <w:szCs w:val="36"/>
                          </w:rPr>
                        </w:pPr>
                        <w:r>
                          <w:rPr>
                            <w:rFonts w:ascii="楷体" w:eastAsia="楷体" w:cs="楷体" w:hint="eastAsia"/>
                            <w:b/>
                            <w:bCs/>
                            <w:color w:val="FDEFBE"/>
                            <w:kern w:val="0"/>
                            <w:sz w:val="36"/>
                            <w:szCs w:val="36"/>
                          </w:rPr>
                          <w:t>2018年度部门决算☞目 录</w:t>
                        </w:r>
                      </w:p>
                      <w:p>
                        <w:pPr>
                          <w:jc w:val="center"/>
                        </w:pPr>
                      </w:p>
                    </w:txbxContent>
                  </v:textbox>
                  <v:stroke color="#AF7621"/>
                </v:rect>
                <w10:anchorLock/>
              </v:group>
            </w:pict>
          </mc:Fallback>
        </mc:AlternateContent>
      </w:r>
      <w:r>
        <w:rPr>
          <w:rFonts w:ascii="黑体" w:eastAsia="黑体" w:hint="eastAsia"/>
          <w:sz w:val="48"/>
          <w:szCs w:val="48"/>
        </w:rPr>
        <w:t>目    录</w:t>
      </w:r>
    </w:p>
    <w:p>
      <w:pPr>
        <w:widowControl/>
        <w:spacing w:line="580" w:lineRule="exact"/>
        <w:ind w:firstLineChars="200" w:firstLine="640"/>
        <w:rPr>
          <w:rFonts w:eastAsia="黑体"/>
          <w:sz w:val="32"/>
          <w:szCs w:val="32"/>
        </w:rPr>
      </w:pPr>
    </w:p>
    <w:p>
      <w:pPr>
        <w:widowControl/>
        <w:spacing w:line="580" w:lineRule="exact"/>
        <w:ind w:firstLineChars="200" w:firstLine="640"/>
        <w:rPr>
          <w:rFonts w:ascii="宋体" w:eastAsia="宋体"/>
          <w:b/>
          <w:sz w:val="24"/>
          <w:szCs w:val="32"/>
        </w:rPr>
      </w:pPr>
      <w:r>
        <w:rPr>
          <w:rFonts w:ascii="宋体" w:eastAsia="宋体"/>
          <w:b/>
          <w:sz w:val="32"/>
          <w:szCs w:val="32"/>
        </w:rPr>
        <w:t>第一部分   部门概况</w:t>
      </w:r>
      <w:r>
        <w:rPr>
          <w:rFonts w:ascii="宋体" w:eastAsia="宋体" w:hint="eastAsia"/>
          <w:b/>
          <w:sz w:val="24"/>
          <w:szCs w:val="32"/>
        </w:rPr>
        <w:t xml:space="preserve"> </w:t>
      </w:r>
    </w:p>
    <w:p>
      <w:pPr>
        <w:widowControl/>
        <w:spacing w:line="580" w:lineRule="exact"/>
        <w:ind w:firstLineChars="398" w:firstLine="1274"/>
        <w:rPr>
          <w:rFonts w:ascii="宋体" w:eastAsia="宋体"/>
          <w:sz w:val="32"/>
          <w:szCs w:val="32"/>
        </w:rPr>
      </w:pPr>
      <w:r>
        <w:rPr>
          <w:rFonts w:ascii="宋体" w:eastAsia="宋体"/>
          <w:sz w:val="32"/>
          <w:szCs w:val="32"/>
        </w:rPr>
        <w:t>一、部门</w:t>
      </w:r>
      <w:r>
        <w:rPr>
          <w:rFonts w:ascii="宋体" w:eastAsia="宋体" w:hint="eastAsia"/>
          <w:sz w:val="32"/>
          <w:szCs w:val="32"/>
        </w:rPr>
        <w:t>职责</w:t>
      </w:r>
    </w:p>
    <w:p>
      <w:pPr>
        <w:widowControl/>
        <w:spacing w:line="580" w:lineRule="exact"/>
        <w:ind w:firstLineChars="398" w:firstLine="1274"/>
        <w:rPr>
          <w:rFonts w:ascii="宋体" w:eastAsia="宋体"/>
          <w:sz w:val="32"/>
          <w:szCs w:val="32"/>
        </w:rPr>
      </w:pPr>
      <w:r>
        <w:rPr>
          <w:rFonts w:ascii="宋体" w:eastAsia="宋体"/>
          <w:sz w:val="32"/>
          <w:szCs w:val="32"/>
        </w:rPr>
        <w:t>二、</w:t>
      </w:r>
      <w:r>
        <w:rPr>
          <w:rFonts w:ascii="宋体" w:eastAsia="宋体" w:hint="eastAsia"/>
          <w:sz w:val="32"/>
          <w:szCs w:val="32"/>
        </w:rPr>
        <w:t>机构设置</w:t>
      </w:r>
    </w:p>
    <w:p>
      <w:pPr>
        <w:widowControl/>
        <w:spacing w:line="580" w:lineRule="exact"/>
        <w:ind w:firstLineChars="200" w:firstLine="640"/>
        <w:rPr>
          <w:rFonts w:ascii="宋体" w:eastAsia="宋体"/>
          <w:b/>
          <w:sz w:val="20"/>
          <w:szCs w:val="32"/>
        </w:rPr>
      </w:pPr>
      <w:r>
        <w:rPr>
          <w:rFonts w:ascii="宋体" w:eastAsia="宋体"/>
          <w:b/>
          <w:sz w:val="32"/>
          <w:szCs w:val="32"/>
        </w:rPr>
        <w:t>第二部分   201</w:t>
      </w:r>
      <w:r>
        <w:rPr>
          <w:rFonts w:ascii="宋体" w:eastAsia="宋体" w:hint="eastAsia"/>
          <w:b/>
          <w:sz w:val="32"/>
          <w:szCs w:val="32"/>
        </w:rPr>
        <w:t>8</w:t>
      </w:r>
      <w:r>
        <w:rPr>
          <w:rFonts w:ascii="宋体" w:eastAsia="宋体"/>
          <w:b/>
          <w:sz w:val="32"/>
          <w:szCs w:val="32"/>
        </w:rPr>
        <w:t>年度部门决算报表</w:t>
      </w:r>
    </w:p>
    <w:p>
      <w:pPr>
        <w:widowControl/>
        <w:spacing w:line="580" w:lineRule="exact"/>
        <w:ind w:left="640" w:firstLineChars="200" w:firstLine="640"/>
        <w:rPr>
          <w:rFonts w:ascii="宋体" w:eastAsia="宋体"/>
          <w:sz w:val="32"/>
          <w:szCs w:val="32"/>
        </w:rPr>
      </w:pPr>
      <w:r>
        <w:rPr>
          <w:rFonts w:ascii="宋体" w:eastAsia="宋体"/>
          <w:sz w:val="32"/>
          <w:szCs w:val="32"/>
        </w:rPr>
        <w:t>一、收入支出决算总表</w:t>
      </w:r>
    </w:p>
    <w:p>
      <w:pPr>
        <w:widowControl/>
        <w:spacing w:line="580" w:lineRule="exact"/>
        <w:ind w:left="640" w:firstLineChars="200" w:firstLine="640"/>
        <w:rPr>
          <w:rFonts w:ascii="宋体" w:eastAsia="宋体"/>
          <w:sz w:val="32"/>
          <w:szCs w:val="32"/>
        </w:rPr>
      </w:pPr>
      <w:r>
        <w:rPr>
          <w:rFonts w:ascii="宋体" w:eastAsia="宋体"/>
          <w:sz w:val="32"/>
          <w:szCs w:val="32"/>
        </w:rPr>
        <w:t>二、收入决算表</w:t>
      </w:r>
    </w:p>
    <w:p>
      <w:pPr>
        <w:widowControl/>
        <w:spacing w:line="580" w:lineRule="exact"/>
        <w:ind w:left="640" w:firstLineChars="200" w:firstLine="640"/>
        <w:rPr>
          <w:rFonts w:ascii="宋体" w:eastAsia="宋体"/>
          <w:sz w:val="32"/>
          <w:szCs w:val="32"/>
        </w:rPr>
      </w:pPr>
      <w:r>
        <w:rPr>
          <w:rFonts w:ascii="宋体" w:eastAsia="宋体"/>
          <w:sz w:val="32"/>
          <w:szCs w:val="32"/>
        </w:rPr>
        <w:t>三、支出决算表</w:t>
      </w:r>
    </w:p>
    <w:p>
      <w:pPr>
        <w:widowControl/>
        <w:spacing w:line="580" w:lineRule="exact"/>
        <w:ind w:left="640" w:firstLineChars="200" w:firstLine="640"/>
        <w:rPr>
          <w:rFonts w:ascii="宋体" w:eastAsia="宋体"/>
          <w:sz w:val="32"/>
          <w:szCs w:val="32"/>
        </w:rPr>
      </w:pPr>
      <w:r>
        <w:rPr>
          <w:rFonts w:ascii="宋体" w:eastAsia="宋体"/>
          <w:sz w:val="32"/>
          <w:szCs w:val="32"/>
        </w:rPr>
        <w:t>四、财政拨款收入支出决算总表</w:t>
      </w:r>
    </w:p>
    <w:p>
      <w:pPr>
        <w:widowControl/>
        <w:spacing w:line="580" w:lineRule="exact"/>
        <w:ind w:left="640" w:firstLineChars="200" w:firstLine="640"/>
        <w:rPr>
          <w:rFonts w:ascii="宋体" w:eastAsia="宋体"/>
          <w:sz w:val="32"/>
          <w:szCs w:val="32"/>
        </w:rPr>
      </w:pPr>
      <w:r>
        <w:rPr>
          <w:rFonts w:ascii="宋体" w:eastAsia="宋体"/>
          <w:sz w:val="32"/>
          <w:szCs w:val="32"/>
        </w:rPr>
        <w:t>五、一般公共预算财政拨款支出决算表</w:t>
      </w:r>
    </w:p>
    <w:p>
      <w:pPr>
        <w:widowControl/>
        <w:spacing w:line="580" w:lineRule="exact"/>
        <w:ind w:left="640" w:firstLineChars="200" w:firstLine="640"/>
        <w:rPr>
          <w:rFonts w:ascii="宋体" w:eastAsia="宋体"/>
          <w:sz w:val="32"/>
          <w:szCs w:val="32"/>
        </w:rPr>
      </w:pPr>
      <w:r>
        <w:rPr>
          <w:rFonts w:ascii="宋体" w:eastAsia="宋体"/>
          <w:sz w:val="32"/>
          <w:szCs w:val="32"/>
        </w:rPr>
        <w:t>六、一般公共预算财政拨款基本支出决算表</w:t>
      </w:r>
    </w:p>
    <w:p>
      <w:pPr>
        <w:widowControl/>
        <w:spacing w:line="580" w:lineRule="exact"/>
        <w:ind w:left="640" w:firstLineChars="200" w:firstLine="640"/>
        <w:rPr>
          <w:rFonts w:ascii="宋体" w:eastAsia="宋体"/>
          <w:sz w:val="32"/>
          <w:szCs w:val="32"/>
        </w:rPr>
      </w:pPr>
      <w:r>
        <w:rPr>
          <w:rFonts w:ascii="宋体" w:eastAsia="宋体"/>
          <w:sz w:val="32"/>
          <w:szCs w:val="32"/>
        </w:rPr>
        <w:t>七、</w:t>
      </w:r>
      <w:r>
        <w:rPr>
          <w:rFonts w:ascii="宋体" w:eastAsia="宋体" w:hint="eastAsia"/>
          <w:sz w:val="32"/>
          <w:szCs w:val="32"/>
        </w:rPr>
        <w:t>一般公共预算财政拨款</w:t>
      </w:r>
      <w:r>
        <w:rPr>
          <w:rFonts w:ascii="宋体" w:eastAsia="宋体"/>
          <w:sz w:val="32"/>
          <w:szCs w:val="32"/>
        </w:rPr>
        <w:t>“三公”经费</w:t>
      </w:r>
      <w:r>
        <w:rPr>
          <w:rFonts w:ascii="宋体" w:eastAsia="宋体" w:hint="eastAsia"/>
          <w:sz w:val="32"/>
          <w:szCs w:val="32"/>
        </w:rPr>
        <w:t>支出决算表</w:t>
      </w:r>
    </w:p>
    <w:p>
      <w:pPr>
        <w:widowControl/>
        <w:spacing w:line="580" w:lineRule="exact"/>
        <w:ind w:left="640" w:firstLineChars="200" w:firstLine="640"/>
        <w:rPr>
          <w:rFonts w:ascii="宋体" w:eastAsia="宋体"/>
          <w:sz w:val="32"/>
          <w:szCs w:val="32"/>
        </w:rPr>
      </w:pPr>
      <w:r>
        <w:rPr>
          <w:rFonts w:ascii="宋体" w:eastAsia="宋体" w:hint="eastAsia"/>
          <w:sz w:val="32"/>
          <w:szCs w:val="32"/>
        </w:rPr>
        <w:t>八、</w:t>
      </w:r>
      <w:r>
        <w:rPr>
          <w:rFonts w:ascii="宋体" w:eastAsia="宋体"/>
          <w:sz w:val="32"/>
          <w:szCs w:val="32"/>
        </w:rPr>
        <w:t>政府性基金预算财政拨款收入支出决算表</w:t>
      </w:r>
    </w:p>
    <w:p>
      <w:pPr>
        <w:widowControl/>
        <w:spacing w:line="580" w:lineRule="exact"/>
        <w:ind w:left="640" w:firstLineChars="200" w:firstLine="640"/>
        <w:rPr>
          <w:rFonts w:ascii="宋体" w:eastAsia="宋体"/>
          <w:sz w:val="32"/>
          <w:szCs w:val="32"/>
        </w:rPr>
      </w:pPr>
      <w:r>
        <w:rPr>
          <w:rFonts w:ascii="宋体" w:eastAsia="宋体" w:hint="eastAsia"/>
          <w:sz w:val="32"/>
          <w:szCs w:val="32"/>
        </w:rPr>
        <w:t>九</w:t>
      </w:r>
      <w:r>
        <w:rPr>
          <w:rFonts w:ascii="宋体" w:eastAsia="宋体"/>
          <w:sz w:val="32"/>
          <w:szCs w:val="32"/>
        </w:rPr>
        <w:t>、国有资本经营预算</w:t>
      </w:r>
      <w:r>
        <w:rPr>
          <w:rFonts w:ascii="宋体" w:eastAsia="宋体" w:hint="eastAsia"/>
          <w:sz w:val="32"/>
          <w:szCs w:val="32"/>
        </w:rPr>
        <w:t>财政拨款</w:t>
      </w:r>
      <w:r>
        <w:rPr>
          <w:rFonts w:ascii="宋体" w:eastAsia="宋体"/>
          <w:sz w:val="32"/>
          <w:szCs w:val="32"/>
        </w:rPr>
        <w:t>支出决算表</w:t>
      </w:r>
    </w:p>
    <w:p>
      <w:pPr>
        <w:widowControl/>
        <w:spacing w:line="580" w:lineRule="exact"/>
        <w:ind w:left="640" w:firstLineChars="200" w:firstLine="640"/>
        <w:rPr>
          <w:rFonts w:ascii="宋体" w:eastAsia="宋体"/>
          <w:sz w:val="32"/>
          <w:szCs w:val="32"/>
        </w:rPr>
      </w:pPr>
      <w:r>
        <w:rPr>
          <w:rFonts w:ascii="宋体" w:eastAsia="宋体" w:hint="eastAsia"/>
          <w:sz w:val="32"/>
          <w:szCs w:val="32"/>
        </w:rPr>
        <w:t>十</w:t>
      </w:r>
      <w:r>
        <w:rPr>
          <w:rFonts w:ascii="宋体" w:eastAsia="宋体"/>
          <w:sz w:val="32"/>
          <w:szCs w:val="32"/>
        </w:rPr>
        <w:t>、政府采购情况表</w:t>
      </w:r>
    </w:p>
    <w:p>
      <w:pPr>
        <w:widowControl/>
        <w:spacing w:line="580" w:lineRule="exact"/>
        <w:ind w:firstLineChars="200" w:firstLine="640"/>
        <w:rPr>
          <w:rFonts w:eastAsia="黑体"/>
          <w:sz w:val="32"/>
          <w:szCs w:val="32"/>
        </w:rPr>
      </w:pPr>
    </w:p>
    <w:p>
      <w:pPr>
        <w:widowControl/>
        <w:spacing w:line="580" w:lineRule="exact"/>
        <w:ind w:firstLineChars="200" w:firstLine="640"/>
        <w:rPr>
          <w:rFonts w:ascii="宋体" w:eastAsia="宋体"/>
          <w:b/>
          <w:sz w:val="32"/>
          <w:szCs w:val="32"/>
        </w:rPr>
      </w:pPr>
      <w:r>
        <w:rPr>
          <w:rFonts w:ascii="宋体" w:eastAsia="宋体"/>
          <w:b/>
          <w:sz w:val="32"/>
          <w:szCs w:val="32"/>
        </w:rPr>
        <w:t xml:space="preserve">第三部分  </w:t>
      </w:r>
      <w:r>
        <w:rPr>
          <w:rFonts w:ascii="宋体" w:eastAsia="宋体" w:hint="eastAsia"/>
          <w:b/>
          <w:sz w:val="32"/>
          <w:szCs w:val="32"/>
        </w:rPr>
        <w:t>丰南区文化馆</w:t>
      </w:r>
      <w:r>
        <w:rPr>
          <w:rFonts w:ascii="宋体" w:eastAsia="宋体"/>
          <w:b/>
          <w:sz w:val="32"/>
          <w:szCs w:val="32"/>
        </w:rPr>
        <w:t>201</w:t>
      </w:r>
      <w:r>
        <w:rPr>
          <w:rFonts w:ascii="宋体" w:eastAsia="宋体" w:hint="eastAsia"/>
          <w:b/>
          <w:sz w:val="32"/>
          <w:szCs w:val="32"/>
        </w:rPr>
        <w:t>8</w:t>
      </w:r>
      <w:r>
        <w:rPr>
          <w:rFonts w:ascii="宋体" w:eastAsia="宋体"/>
          <w:b/>
          <w:sz w:val="32"/>
          <w:szCs w:val="32"/>
        </w:rPr>
        <w:t>年部门决算情况说明</w:t>
      </w:r>
      <w:r>
        <w:rPr>
          <w:rFonts w:ascii="宋体" w:eastAsia="宋体"/>
          <w:b/>
          <w:sz w:val="44"/>
        </w:rPr>
        <mc:AlternateContent>
          <mc:Choice Requires="wps">
            <w:drawing>
              <wp:anchor distT="0" distB="0" distL="91438" distR="91438" simplePos="0" relativeHeight="83" behindDoc="0" locked="1" layoutInCell="1" hidden="0" allowOverlap="1">
                <wp:simplePos x="0" y="0"/>
                <wp:positionH relativeFrom="column">
                  <wp:posOffset>-1026160</wp:posOffset>
                </wp:positionH>
                <wp:positionV relativeFrom="page">
                  <wp:posOffset>494663</wp:posOffset>
                </wp:positionV>
                <wp:extent cx="2829560" cy="593725"/>
                <wp:effectExtent l="0" t="0" r="0" b="0"/>
                <wp:wrapNone/>
                <wp:docPr id="15" name="组合"/>
                <wp:cNvGraphicFramePr>
                  <a:graphicFrameLocks noChangeAspect="0"/>
                </wp:cNvGraphicFramePr>
                <a:graphic>
                  <a:graphicData uri="http://schemas.microsoft.com/office/word/2010/wordprocessingGroup">
                    <wpg:wgp>
                      <wpg:cNvPr id="16" name="组合 16"/>
                      <wpg:cNvGrpSpPr/>
                      <wpg:grpSpPr>
                        <a:xfrm rot="0">
                          <a:off x="0" y="0"/>
                          <a:ext cx="2829560" cy="593725"/>
                          <a:chOff x="0" y="0"/>
                          <a:chExt cx="2829560" cy="593725"/>
                        </a:xfrm>
                        <a:prstGeom prst="rect"/>
                        <a:solidFill>
                          <a:srgbClr val="FFFFFF"/>
                        </a:solidFill>
                        <a:ln w="9525" cmpd="sng" cap="flat">
                          <a:solidFill>
                            <a:srgbClr val="000000"/>
                          </a:solidFill>
                          <a:prstDash val="solid"/>
                          <a:miter/>
                        </a:ln>
                      </wpg:grpSpPr>
                      <wps:wsp>
                        <wps:cNvPr id="17" name="_s21 17"/>
                        <wps:cNvSpPr/>
                        <wps:spPr>
                          <a:xfrm rot="0">
                            <a:off x="0" y="0"/>
                            <a:ext cx="2829560" cy="498475"/>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8" name="_s22 18"/>
                        <wps:cNvSpPr/>
                        <wps:spPr>
                          <a:xfrm rot="0">
                            <a:off x="8889" y="117474"/>
                            <a:ext cx="2755900" cy="476250"/>
                          </a:xfrm>
                          <a:prstGeom prst="rect"/>
                          <a:solidFill>
                            <a:srgbClr val="AD002D"/>
                          </a:solidFill>
                          <a:ln w="25400" cmpd="sng" cap="flat">
                            <a:solidFill>
                              <a:srgbClr val="AF7621"/>
                            </a:solidFill>
                            <a:prstDash val="solid"/>
                            <a:miter/>
                          </a:ln>
                        </wps:spPr>
                        <wps:txbx id="19">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2018年度部门决算☞目 录</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20" o:spid="_x0000_s20" coordorigin="-28,778" coordsize="4456,935" style="position:absolute;margin-left:-80.800026pt;margin-top:38.949894pt;width:222.80003pt;height:46.750015pt;z-index:83;mso-position-horizontal:absolute;mso-position-vertical:absolute;mso-position-vertical-relative:page;mso-wrap-distance-left:7.19989pt;mso-wrap-distance-right:7.19989pt;">
                <v:rect type="#_x0000_t1" id="_s21" o:spid="_x0000_s21" style="position:absolute;left:-28;top:778;width:4456;height:785;" fillcolor="#D8D8D8" stroked="f">
                  <v:stroke color="#000000"/>
                </v:rect>
                <v:rect type="#_x0000_t1" id="_s22" o:spid="_x0000_s22" style="position:absolute;left:-14;top:963;width:4340;height:750;mso-wrap-style:square;" fillcolor="#AD002D" stroked="t" strokeweight="2.0pt">
                  <v:textbox id="861"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2018年度部门决算☞目 录</w:t>
                        </w:r>
                      </w:p>
                      <w:p>
                        <w:pPr>
                          <w:jc w:val="center"/>
                        </w:pPr>
                      </w:p>
                    </w:txbxContent>
                  </v:textbox>
                  <v:stroke color="#AF7621"/>
                </v:rect>
                <w10:anchorLock/>
              </v:group>
            </w:pict>
          </mc:Fallback>
        </mc:AlternateContent>
      </w:r>
    </w:p>
    <w:p>
      <w:pPr>
        <w:widowControl/>
        <w:spacing w:line="580" w:lineRule="exact"/>
        <w:ind w:left="640" w:firstLineChars="200" w:firstLine="640"/>
        <w:rPr>
          <w:rFonts w:ascii="宋体" w:eastAsia="宋体"/>
          <w:sz w:val="32"/>
          <w:szCs w:val="32"/>
        </w:rPr>
      </w:pPr>
      <w:r>
        <w:rPr>
          <w:rFonts w:ascii="宋体" w:eastAsia="宋体"/>
          <w:sz w:val="32"/>
          <w:szCs w:val="32"/>
        </w:rPr>
        <w:t>一、收入支出决算总体情况说明</w:t>
      </w:r>
    </w:p>
    <w:p>
      <w:pPr>
        <w:widowControl/>
        <w:spacing w:line="580" w:lineRule="exact"/>
        <w:ind w:left="640" w:firstLineChars="200" w:firstLine="640"/>
        <w:rPr>
          <w:rFonts w:ascii="宋体" w:eastAsia="宋体"/>
          <w:sz w:val="32"/>
          <w:szCs w:val="32"/>
        </w:rPr>
      </w:pPr>
      <w:r>
        <w:rPr>
          <w:rFonts w:ascii="宋体" w:eastAsia="宋体"/>
          <w:sz w:val="32"/>
          <w:szCs w:val="32"/>
        </w:rPr>
        <w:t>二、收入决算情况说明</w:t>
      </w:r>
    </w:p>
    <w:p>
      <w:pPr>
        <w:widowControl/>
        <w:spacing w:line="580" w:lineRule="exact"/>
        <w:ind w:left="640" w:firstLineChars="200" w:firstLine="640"/>
        <w:rPr>
          <w:rFonts w:ascii="宋体" w:eastAsia="宋体"/>
          <w:sz w:val="32"/>
          <w:szCs w:val="32"/>
        </w:rPr>
      </w:pPr>
      <w:r>
        <w:rPr>
          <w:rFonts w:ascii="宋体" w:eastAsia="宋体"/>
          <w:sz w:val="32"/>
          <w:szCs w:val="32"/>
        </w:rPr>
        <w:t>三、支出决算情况说明</w:t>
      </w:r>
    </w:p>
    <w:p>
      <w:pPr>
        <w:widowControl/>
        <w:spacing w:line="580" w:lineRule="exact"/>
        <w:ind w:left="640" w:firstLineChars="200" w:firstLine="640"/>
        <w:rPr>
          <w:rFonts w:ascii="宋体" w:eastAsia="宋体"/>
          <w:sz w:val="32"/>
          <w:szCs w:val="32"/>
        </w:rPr>
      </w:pPr>
      <w:r>
        <w:rPr>
          <w:rFonts w:ascii="宋体" w:eastAsia="宋体"/>
          <w:sz w:val="32"/>
          <w:szCs w:val="32"/>
        </w:rPr>
        <w:t>四、财政拨款收入支出决算总体情况说明</w:t>
      </w:r>
    </w:p>
    <w:p>
      <w:pPr>
        <w:widowControl/>
        <w:spacing w:line="580" w:lineRule="exact"/>
        <w:ind w:left="640" w:firstLineChars="200" w:firstLine="640"/>
        <w:rPr>
          <w:rFonts w:ascii="宋体" w:eastAsia="宋体"/>
          <w:sz w:val="32"/>
          <w:szCs w:val="32"/>
        </w:rPr>
      </w:pPr>
      <w:r>
        <w:rPr>
          <w:rFonts w:ascii="宋体" w:eastAsia="宋体" w:hint="eastAsia"/>
          <w:sz w:val="32"/>
          <w:szCs w:val="32"/>
        </w:rPr>
        <w:t>五、一般公共预算</w:t>
      </w:r>
      <w:r>
        <w:rPr>
          <w:rFonts w:ascii="宋体" w:eastAsia="宋体"/>
          <w:sz w:val="32"/>
          <w:szCs w:val="32"/>
        </w:rPr>
        <w:t>“三公”经费支出决算情况说明</w:t>
      </w:r>
    </w:p>
    <w:p>
      <w:pPr>
        <w:widowControl/>
        <w:spacing w:line="580" w:lineRule="exact"/>
        <w:ind w:left="640" w:firstLineChars="200" w:firstLine="640"/>
        <w:rPr>
          <w:rFonts w:ascii="宋体" w:eastAsia="宋体"/>
          <w:sz w:val="32"/>
          <w:szCs w:val="32"/>
        </w:rPr>
      </w:pPr>
      <w:r>
        <w:rPr>
          <w:rFonts w:ascii="宋体" w:eastAsia="宋体" w:hint="eastAsia"/>
          <w:sz w:val="32"/>
          <w:szCs w:val="32"/>
        </w:rPr>
        <w:t>六</w:t>
      </w:r>
      <w:r>
        <w:rPr>
          <w:rFonts w:ascii="宋体" w:eastAsia="宋体"/>
          <w:sz w:val="32"/>
          <w:szCs w:val="32"/>
        </w:rPr>
        <w:t>、预算绩效情况说明</w:t>
      </w:r>
    </w:p>
    <w:p>
      <w:pPr>
        <w:widowControl/>
        <w:spacing w:line="580" w:lineRule="exact"/>
        <w:ind w:left="640" w:firstLineChars="200" w:firstLine="640"/>
        <w:rPr>
          <w:rFonts w:ascii="宋体" w:eastAsia="宋体"/>
          <w:sz w:val="32"/>
          <w:szCs w:val="32"/>
        </w:rPr>
      </w:pPr>
      <w:r>
        <w:rPr>
          <w:rFonts w:ascii="宋体" w:eastAsia="宋体" w:hint="eastAsia"/>
          <w:sz w:val="32"/>
          <w:szCs w:val="32"/>
        </w:rPr>
        <w:t>七</w:t>
      </w:r>
      <w:r>
        <w:rPr>
          <w:rFonts w:ascii="宋体" w:eastAsia="宋体"/>
          <w:sz w:val="32"/>
          <w:szCs w:val="32"/>
        </w:rPr>
        <w:t>、其他重要事项的说明</w:t>
      </w:r>
    </w:p>
    <w:p>
      <w:pPr>
        <w:widowControl/>
        <w:spacing w:line="580" w:lineRule="exact"/>
        <w:ind w:firstLineChars="200" w:firstLine="640"/>
        <w:rPr>
          <w:rFonts w:ascii="宋体" w:eastAsia="宋体"/>
          <w:b/>
          <w:sz w:val="32"/>
          <w:szCs w:val="32"/>
        </w:rPr>
      </w:pPr>
      <w:r>
        <w:rPr>
          <w:rFonts w:ascii="宋体" w:eastAsia="宋体"/>
          <w:b/>
          <w:sz w:val="32"/>
          <w:szCs w:val="32"/>
        </w:rPr>
        <w:t>第四部分  名词解释</w:t>
      </w:r>
    </w:p>
    <w:p>
      <w:pPr>
        <w:widowControl/>
        <w:spacing w:line="580" w:lineRule="exact"/>
        <w:ind w:left="640" w:firstLineChars="200" w:firstLine="640"/>
        <w:rPr>
          <w:rFonts w:ascii="宋体" w:eastAsia="宋体"/>
          <w:sz w:val="32"/>
          <w:szCs w:val="32"/>
        </w:rPr>
      </w:pPr>
      <w:r>
        <w:rPr>
          <w:rFonts w:ascii="宋体" w:eastAsia="宋体" w:hint="eastAsia"/>
          <w:sz w:val="32"/>
          <w:szCs w:val="32"/>
        </w:rPr>
        <w:t>对专业性较强的名词进行解释（比如：财政拨款收入、事业收入、基本支出、项目支出等）。</w:t>
      </w:r>
    </w:p>
    <w:p>
      <w:pPr>
        <w:widowControl/>
        <w:spacing w:line="580" w:lineRule="exact"/>
        <w:ind w:firstLineChars="200" w:firstLine="640"/>
        <w:rPr>
          <w:rFonts w:eastAsia="黑体"/>
          <w:sz w:val="32"/>
          <w:szCs w:val="32"/>
        </w:rPr>
      </w:pPr>
    </w:p>
    <w:p>
      <w:pPr>
        <w:widowControl/>
        <w:spacing w:line="580" w:lineRule="exact"/>
        <w:ind w:firstLineChars="200" w:firstLine="640"/>
        <w:rPr>
          <w:rFonts w:eastAsia="黑体"/>
          <w:sz w:val="32"/>
          <w:szCs w:val="32"/>
        </w:rPr>
      </w:pPr>
    </w:p>
    <w:p>
      <w:pPr>
        <w:widowControl/>
        <w:spacing w:line="580" w:lineRule="exact"/>
        <w:ind w:firstLineChars="200" w:firstLine="640"/>
        <w:rPr>
          <w:rFonts w:eastAsia="黑体"/>
          <w:sz w:val="32"/>
          <w:szCs w:val="32"/>
        </w:rPr>
      </w:pPr>
    </w:p>
    <w:p>
      <w:pPr>
        <w:widowControl/>
        <w:spacing w:line="580" w:lineRule="exact"/>
        <w:ind w:firstLineChars="200" w:firstLine="640"/>
        <w:rPr>
          <w:rFonts w:eastAsia="黑体"/>
          <w:sz w:val="32"/>
          <w:szCs w:val="32"/>
        </w:rPr>
      </w:pPr>
    </w:p>
    <w:p>
      <w:r>
        <w:br w:type="page"/>
      </w:r>
    </w:p>
    <w:p>
      <w:r>
        <w:rPr>
          <w:rFonts w:ascii="宋体" w:cs="ArialUnicodeMS" w:hint="eastAsia"/>
          <w:color w:val="000000"/>
          <w:kern w:val="0"/>
        </w:rPr>
        <w:drawing>
          <wp:anchor distT="0" distB="0" distL="0" distR="0" simplePos="0" relativeHeight="6" behindDoc="1" locked="0" layoutInCell="1" hidden="0" allowOverlap="1">
            <wp:simplePos x="0" y="0"/>
            <wp:positionH relativeFrom="column">
              <wp:posOffset>-1024255</wp:posOffset>
            </wp:positionH>
            <wp:positionV relativeFrom="paragraph">
              <wp:posOffset>-1351914</wp:posOffset>
            </wp:positionV>
            <wp:extent cx="7585710" cy="10727057"/>
            <wp:effectExtent l="0" t="0" r="0" b="0"/>
            <wp:wrapNone/>
            <wp:docPr id="23" name="图片 12"/>
            <wp:cNvGraphicFramePr>
              <a:graphicFrameLocks noChangeAspect="0"/>
            </wp:cNvGraphicFramePr>
            <a:graphic>
              <a:graphicData uri="http://schemas.openxmlformats.org/drawingml/2006/picture">
                <pic:pic>
                  <pic:nvPicPr>
                    <pic:cNvPr id="25" name="图片 12 25"/>
                    <pic:cNvPicPr/>
                  </pic:nvPicPr>
                  <pic:blipFill>
                    <a:blip r:embed="rId3"/>
                    <a:stretch>
                      <a:fillRect/>
                    </a:stretch>
                  </pic:blipFill>
                  <pic:spPr>
                    <a:xfrm rot="0">
                      <a:off x="0" y="0"/>
                      <a:ext cx="7585710" cy="10727057"/>
                    </a:xfrm>
                    <a:prstGeom prst="rect"/>
                    <a:noFill/>
                    <a:ln w="9525" cmpd="sng" cap="flat">
                      <a:noFill/>
                      <a:prstDash val="solid"/>
                      <a:miter/>
                    </a:ln>
                  </pic:spPr>
                </pic:pic>
              </a:graphicData>
            </a:graphic>
          </wp:anchor>
        </w:drawing>
      </w:r>
      <w:r>
        <w:rPr>
          <w:sz w:val="72"/>
        </w:rPr>
        <mc:AlternateContent>
          <mc:Choice Requires="wps">
            <w:drawing>
              <wp:anchor distT="0" distB="0" distL="91438" distR="91438" simplePos="0" relativeHeight="79" behindDoc="0" locked="0" layoutInCell="1" hidden="0" allowOverlap="1">
                <wp:simplePos x="0" y="0"/>
                <wp:positionH relativeFrom="column">
                  <wp:posOffset>-1235710</wp:posOffset>
                </wp:positionH>
                <wp:positionV relativeFrom="paragraph">
                  <wp:posOffset>3290570</wp:posOffset>
                </wp:positionV>
                <wp:extent cx="7793355" cy="1037589"/>
                <wp:effectExtent l="0" t="0" r="0" b="0"/>
                <wp:wrapNone/>
                <wp:docPr id="26" name="1035"/>
                <wp:cNvGraphicFramePr>
                  <a:graphicFrameLocks noChangeAspect="0"/>
                </wp:cNvGraphicFramePr>
                <a:graphic>
                  <a:graphicData uri="http://schemas.microsoft.com/office/word/2010/wordprocessingShape">
                    <wps:wsp>
                      <wps:cNvSpPr/>
                      <wps:spPr>
                        <a:xfrm rot="0">
                          <a:off x="0" y="0"/>
                          <a:ext cx="7793355" cy="1037589"/>
                        </a:xfrm>
                        <a:prstGeom prst="rect"/>
                        <a:noFill/>
                        <a:ln w="9525" cmpd="sng" cap="flat">
                          <a:noFill/>
                          <a:prstDash val="solid"/>
                          <a:miter/>
                        </a:ln>
                      </wps:spPr>
                      <wps:txbx id="27">
                        <w:txbxContent>
                          <w:p>
                            <w:pPr>
                              <w:widowControl/>
                              <w:jc w:val="center"/>
                              <w:rPr>
                                <w:color w:val="FDEFBE"/>
                                <w:sz w:val="96"/>
                                <w:szCs w:val="96"/>
                              </w:rPr>
                            </w:pPr>
                            <w:r>
                              <w:rPr>
                                <w:rFonts w:ascii="黑体" w:eastAsia="黑体" w:hint="eastAsia"/>
                                <w:color w:val="FDEFBE"/>
                                <w:sz w:val="96"/>
                                <w:szCs w:val="96"/>
                              </w:rPr>
                              <w:t>第一部分  部门概况</w:t>
                            </w:r>
                          </w:p>
                        </w:txbxContent>
                      </wps:txbx>
                      <wps:bodyPr vert="horz" wrap="square" lIns="91440" tIns="45720" rIns="91440" bIns="45720" anchor="t" anchorCtr="0" upright="1">
                        <a:noAutofit/>
                      </wps:bodyPr>
                    </wps:wsp>
                  </a:graphicData>
                </a:graphic>
              </wp:anchor>
            </w:drawing>
          </mc:Choice>
          <mc:Fallback>
            <w:pict>
              <v:rect type="#_x0000_t1" id="1035 28" o:spid="_x0000_s28" filled="f" stroked="f" style="position:absolute;margin-left:-97.299995pt;margin-top:259.1pt;width:613.65pt;height:81.69998pt;z-index:79;mso-position-horizontal:absolute;mso-position-vertical:absolute;mso-wrap-distance-left:7.19989pt;mso-wrap-distance-right:7.19989pt;mso-wrap-style:square;">
                <v:stroke color="#000000"/>
                <v:textbox id="862" inset="2.54mm,1.27mm,2.54mm,1.27mm" o:insetmode="custom" style="layout-flow:horizontal;v-text-anchor:top;">
                  <w:txbxContent>
                    <w:p>
                      <w:pPr>
                        <w:widowControl/>
                        <w:jc w:val="center"/>
                        <w:rPr>
                          <w:color w:val="FDEFBE"/>
                          <w:sz w:val="96"/>
                          <w:szCs w:val="96"/>
                        </w:rPr>
                      </w:pPr>
                      <w:r>
                        <w:rPr>
                          <w:rFonts w:ascii="黑体" w:eastAsia="黑体" w:hint="eastAsia"/>
                          <w:color w:val="FDEFBE"/>
                          <w:sz w:val="96"/>
                          <w:szCs w:val="96"/>
                        </w:rPr>
                        <w:t>第一部分  部门概况</w:t>
                      </w:r>
                    </w:p>
                  </w:txbxContent>
                </v:textbox>
              </v:rect>
            </w:pict>
          </mc:Fallback>
        </mc:AlternateContent>
      </w:r>
    </w:p>
    <w:p/>
    <w:p/>
    <w:p/>
    <w:p/>
    <w:p/>
    <w:p/>
    <w:p/>
    <w:p/>
    <w:p/>
    <w:p/>
    <w:p/>
    <w:p/>
    <w:p/>
    <w:p/>
    <w:p/>
    <w:p>
      <w:pPr>
        <w:pStyle w:val="1"/>
        <w:spacing w:before="0" w:after="0" w:line="600" w:lineRule="exact"/>
        <w:jc w:val="left"/>
        <w:rPr>
          <w:rFonts w:ascii="宋体" w:eastAsia="宋体" w:cs="黑体"/>
          <w:bCs w:val="0"/>
          <w:kern w:val="0"/>
          <w:sz w:val="32"/>
          <w:szCs w:val="32"/>
        </w:rPr>
      </w:pPr>
      <w:r>
        <w:rPr>
          <w:rFonts w:ascii="宋体" w:eastAsia="宋体"/>
          <w:bCs w:val="0"/>
          <w:sz w:val="32"/>
          <w:szCs w:val="32"/>
        </w:rPr>
        <mc:AlternateContent>
          <mc:Choice Requires="wps">
            <w:drawing>
              <wp:anchor distT="0" distB="0" distL="91438" distR="91438" simplePos="0" relativeHeight="71" behindDoc="0" locked="1" layoutInCell="1" hidden="0" allowOverlap="1">
                <wp:simplePos x="0" y="0"/>
                <wp:positionH relativeFrom="column">
                  <wp:posOffset>-1026160</wp:posOffset>
                </wp:positionH>
                <wp:positionV relativeFrom="page">
                  <wp:posOffset>501651</wp:posOffset>
                </wp:positionV>
                <wp:extent cx="3114675" cy="593089"/>
                <wp:effectExtent l="0" t="0" r="0" b="0"/>
                <wp:wrapNone/>
                <wp:docPr id="29" name="组合"/>
                <wp:cNvGraphicFramePr>
                  <a:graphicFrameLocks noChangeAspect="0"/>
                </wp:cNvGraphicFramePr>
                <a:graphic>
                  <a:graphicData uri="http://schemas.microsoft.com/office/word/2010/wordprocessingGroup">
                    <wpg:wgp>
                      <wpg:cNvPr id="30" name="组合 30"/>
                      <wpg:cNvGrpSpPr/>
                      <wpg:grpSpPr>
                        <a:xfrm rot="0">
                          <a:off x="0" y="0"/>
                          <a:ext cx="3114675" cy="593089"/>
                          <a:chOff x="0" y="0"/>
                          <a:chExt cx="3114675" cy="593089"/>
                        </a:xfrm>
                        <a:prstGeom prst="rect"/>
                        <a:solidFill>
                          <a:srgbClr val="FFFFFF"/>
                        </a:solidFill>
                        <a:ln w="9525" cmpd="sng" cap="flat">
                          <a:solidFill>
                            <a:srgbClr val="000000"/>
                          </a:solidFill>
                          <a:prstDash val="solid"/>
                          <a:miter/>
                        </a:ln>
                      </wpg:grpSpPr>
                      <wps:wsp>
                        <wps:cNvPr id="31" name="_s35 31"/>
                        <wps:cNvSpPr/>
                        <wps:spPr>
                          <a:xfrm rot="0">
                            <a:off x="0" y="0"/>
                            <a:ext cx="3114675" cy="499008"/>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32" name="_s36 32"/>
                        <wps:cNvSpPr/>
                        <wps:spPr>
                          <a:xfrm rot="0">
                            <a:off x="9525" y="116329"/>
                            <a:ext cx="3033395" cy="476760"/>
                          </a:xfrm>
                          <a:prstGeom prst="rect"/>
                          <a:solidFill>
                            <a:srgbClr val="AD002D"/>
                          </a:solidFill>
                          <a:ln w="25400" cmpd="sng" cap="flat">
                            <a:solidFill>
                              <a:srgbClr val="AF7621"/>
                            </a:solidFill>
                            <a:prstDash val="solid"/>
                            <a:miter/>
                          </a:ln>
                        </wps:spPr>
                        <wps:txbx id="33">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2018年度部门决算☞部门概况</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34" o:spid="_x0000_s34" coordorigin="-28,790" coordsize="4905,933" style="position:absolute;margin-left:-80.800026pt;margin-top:39.50008pt;width:245.25005pt;height:46.69997pt;z-index:71;mso-position-horizontal:absolute;mso-position-vertical:absolute;mso-position-vertical-relative:page;mso-wrap-distance-left:7.19989pt;mso-wrap-distance-right:7.19989pt;">
                <v:rect type="#_x0000_t1" id="_s35" o:spid="_x0000_s35" style="position:absolute;left:-28;top:790;width:4905;height:785;" fillcolor="#D8D8D8" stroked="f">
                  <v:stroke color="#000000"/>
                </v:rect>
                <v:rect type="#_x0000_t1" id="_s36" o:spid="_x0000_s36" style="position:absolute;left:-13;top:973;width:4777;height:750;mso-wrap-style:square;" fillcolor="#AD002D" stroked="t" strokeweight="2.0pt">
                  <v:textbox id="863"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2018年度部门决算☞部门概况</w:t>
                        </w:r>
                      </w:p>
                      <w:p>
                        <w:pPr>
                          <w:jc w:val="center"/>
                        </w:pPr>
                      </w:p>
                    </w:txbxContent>
                  </v:textbox>
                  <v:stroke color="#AF7621"/>
                </v:rect>
                <w10:anchorLock/>
              </v:group>
            </w:pict>
          </mc:Fallback>
        </mc:AlternateContent>
      </w:r>
      <w:r>
        <w:rPr>
          <w:rFonts w:ascii="宋体" w:eastAsia="宋体" w:cs="黑体" w:hint="eastAsia"/>
          <w:bCs w:val="0"/>
          <w:kern w:val="0"/>
          <w:sz w:val="32"/>
          <w:szCs w:val="32"/>
        </w:rPr>
        <w:t>一、部门职责</w:t>
      </w:r>
    </w:p>
    <w:p>
      <w:pPr>
        <w:ind w:firstLineChars="200" w:firstLine="560"/>
        <w:rPr>
          <w:rFonts w:ascii="宋体" w:eastAsia="宋体"/>
          <w:sz w:val="28"/>
          <w:szCs w:val="28"/>
        </w:rPr>
      </w:pPr>
      <w:r>
        <w:rPr>
          <w:rFonts w:ascii="宋体" w:eastAsia="宋体" w:cs="宋体" w:hint="eastAsia"/>
          <w:sz w:val="28"/>
          <w:szCs w:val="28"/>
        </w:rPr>
        <w:t>丰富和活跃广大群众的文化生活；普及科学文化艺术知识；指导社会文化活动的普及与提高；开展社会宣传教育。</w:t>
      </w:r>
    </w:p>
    <w:p>
      <w:pPr>
        <w:ind w:firstLineChars="198" w:firstLine="554"/>
        <w:rPr>
          <w:rFonts w:ascii="宋体" w:eastAsia="宋体"/>
          <w:sz w:val="28"/>
          <w:szCs w:val="28"/>
        </w:rPr>
      </w:pPr>
      <w:r>
        <w:rPr>
          <w:rFonts w:ascii="宋体" w:eastAsia="宋体" w:cs="宋体" w:hint="eastAsia"/>
          <w:sz w:val="28"/>
          <w:szCs w:val="28"/>
        </w:rPr>
        <w:t>主要任务及目标规划</w:t>
      </w:r>
    </w:p>
    <w:p>
      <w:pPr>
        <w:ind w:firstLineChars="200" w:firstLine="560"/>
        <w:rPr>
          <w:rFonts w:ascii="宋体" w:eastAsia="宋体"/>
          <w:sz w:val="28"/>
          <w:szCs w:val="28"/>
        </w:rPr>
      </w:pPr>
      <w:r>
        <w:rPr>
          <w:rFonts w:ascii="宋体" w:eastAsia="宋体" w:cs="宋体" w:hint="eastAsia"/>
          <w:sz w:val="28"/>
          <w:szCs w:val="28"/>
        </w:rPr>
        <w:t>文化馆是全区文化艺术中心、辅导中心、指导中心、活动中心、调研中心。贯彻执行党和国家的文化方针政策和法律、法规，坚持“二为方向”和“双百方针”，弘扬中华民族优秀传统文化，弘扬时代主旋律。运用各种文化艺术手段，组织开展群众文化艺术活动，承办政府主办的各类社会文化艺术活动，丰富群众精神文化生活。搞好业余文艺群体建设，辅导、培训业余文艺骨干，组建多种门类的业余文艺团队，开展群众性文艺创作活动。加强对乡镇、社区、企（事）业、机关、学校等文化站（室）、俱乐部的文化工作指导和文化活动辅导。积极开展群众文化理论研究，有计划地进行群文调研。搜集、整理、保护民族民间文化艺术遗产，建立健全群众文化艺术档案。</w:t>
      </w:r>
    </w:p>
    <w:p>
      <w:pPr>
        <w:pStyle w:val="1"/>
        <w:spacing w:before="0" w:after="0" w:line="600" w:lineRule="exact"/>
        <w:jc w:val="left"/>
        <w:rPr>
          <w:rFonts w:ascii="黑体" w:eastAsia="黑体" w:cs="黑体"/>
          <w:b w:val="0"/>
          <w:bCs w:val="0"/>
          <w:kern w:val="0"/>
          <w:sz w:val="32"/>
          <w:szCs w:val="32"/>
        </w:rPr>
      </w:pPr>
      <w:r>
        <w:rPr>
          <w:rFonts w:ascii="黑体" w:eastAsia="黑体" w:cs="黑体" w:hint="eastAsia"/>
          <w:b w:val="0"/>
          <w:bCs w:val="0"/>
          <w:kern w:val="0"/>
          <w:sz w:val="32"/>
          <w:szCs w:val="32"/>
        </w:rPr>
        <w:t>二、机构设置</w:t>
      </w:r>
    </w:p>
    <w:p>
      <w:pPr>
        <w:spacing w:after="0" w:line="560" w:lineRule="exact"/>
        <w:ind w:firstLineChars="200" w:firstLine="640"/>
        <w:rPr>
          <w:rFonts w:ascii="宋体" w:eastAsia="宋体" w:cs="ArialUnicodeMS"/>
          <w:kern w:val="0"/>
          <w:sz w:val="32"/>
          <w:szCs w:val="32"/>
        </w:rPr>
      </w:pPr>
      <w:r>
        <w:rPr>
          <w:rFonts w:ascii="宋体" w:eastAsia="宋体" w:cs="ArialUnicodeMS" w:hint="eastAsia"/>
          <w:kern w:val="0"/>
          <w:sz w:val="32"/>
          <w:szCs w:val="32"/>
        </w:rPr>
        <w:t>从决算编报单位构成看，纳入2018 年度本部门决算汇编范围的独立核算单位（以下简称“单位”）共1个，具体情况如下：</w:t>
      </w:r>
    </w:p>
    <w:tbl>
      <w:tblPr>
        <w:tblpPr w:leftFromText="180" w:rightFromText="180" w:vertAnchor="text" w:horzAnchor="page" w:tblpXSpec="center" w:tblpY="10"/>
        <w:tblOverlap w:val="never"/>
        <w:tblW w:w="958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top w:w="0" w:type="dxa"/>
          <w:left w:w="108" w:type="dxa"/>
          <w:bottom w:w="0" w:type="dxa"/>
          <w:right w:w="108" w:type="dxa"/>
        </w:tblCellMar>
      </w:tblPr>
      <w:tblGrid>
        <w:gridCol w:w="985"/>
        <w:gridCol w:w="2951"/>
        <w:gridCol w:w="2693"/>
        <w:gridCol w:w="2951"/>
      </w:tblGrid>
      <w:tr>
        <w:trPr>
          <w:trHeight w:val="556"/>
        </w:trPr>
        <w:tc>
          <w:tcPr>
            <w:tcW w:w="985"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序号</w:t>
            </w:r>
          </w:p>
        </w:tc>
        <w:tc>
          <w:tcPr>
            <w:tcW w:w="2951"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单位名称</w:t>
            </w:r>
          </w:p>
        </w:tc>
        <w:tc>
          <w:tcPr>
            <w:tcW w:w="2693"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单位基本性质</w:t>
            </w:r>
          </w:p>
        </w:tc>
        <w:tc>
          <w:tcPr>
            <w:tcW w:w="2951" w:type="dxa"/>
            <w:tcBorders>
              <w:top w:val="single" w:sz="4" w:space="0" w:color="auto"/>
              <w:left w:val="single" w:sz="4" w:space="0" w:color="auto"/>
              <w:bottom w:val="single" w:sz="4" w:space="0" w:color="auto"/>
              <w:right w:val="single" w:sz="4" w:space="0" w:color="auto"/>
            </w:tcBorders>
            <w:noWrap/>
            <w:vAlign w:val="center"/>
          </w:tcPr>
          <w:p>
            <w:pPr>
              <w:spacing w:after="0"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经费形式</w:t>
            </w:r>
          </w:p>
        </w:tc>
      </w:tr>
      <w:tr>
        <w:trPr>
          <w:trHeight w:val="596"/>
        </w:trPr>
        <w:tc>
          <w:tcPr>
            <w:tcW w:w="985"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kern w:val="0"/>
                <w:sz w:val="28"/>
                <w:szCs w:val="28"/>
              </w:rPr>
            </w:pPr>
            <w:r>
              <w:rPr>
                <w:rFonts w:ascii="仿宋_GB2312" w:eastAsia="仿宋_GB2312" w:cs="ArialUnicodeMS" w:hint="eastAsia"/>
                <w:kern w:val="0"/>
                <w:sz w:val="28"/>
                <w:szCs w:val="28"/>
              </w:rPr>
              <w:t>1</w:t>
            </w:r>
          </w:p>
        </w:tc>
        <w:tc>
          <w:tcPr>
            <w:tcW w:w="2951"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kern w:val="0"/>
                <w:sz w:val="28"/>
                <w:szCs w:val="28"/>
              </w:rPr>
            </w:pPr>
            <w:r>
              <w:rPr>
                <w:rFonts w:ascii="方正书宋_GBK" w:eastAsia="方正书宋_GBK" w:hint="eastAsia"/>
                <w:sz w:val="28"/>
                <w:szCs w:val="28"/>
              </w:rPr>
              <w:t>丰南区文化馆</w:t>
            </w:r>
          </w:p>
        </w:tc>
        <w:tc>
          <w:tcPr>
            <w:tcW w:w="2693"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kern w:val="0"/>
                <w:sz w:val="28"/>
                <w:szCs w:val="28"/>
              </w:rPr>
            </w:pPr>
            <w:r>
              <w:rPr>
                <w:rFonts w:ascii="仿宋_GB2312" w:eastAsia="仿宋_GB2312" w:cs="ArialUnicodeMS" w:hint="eastAsia"/>
                <w:kern w:val="0"/>
                <w:sz w:val="28"/>
                <w:szCs w:val="28"/>
              </w:rPr>
              <w:t>财政补助事业单位</w:t>
            </w:r>
          </w:p>
        </w:tc>
        <w:tc>
          <w:tcPr>
            <w:tcW w:w="2951" w:type="dxa"/>
            <w:tcBorders>
              <w:top w:val="single" w:sz="4" w:space="0" w:color="auto"/>
              <w:left w:val="single" w:sz="4" w:space="0" w:color="auto"/>
              <w:bottom w:val="single" w:sz="4" w:space="0" w:color="auto"/>
              <w:right w:val="single" w:sz="4" w:space="0" w:color="auto"/>
            </w:tcBorders>
            <w:noWrap/>
          </w:tcPr>
          <w:p>
            <w:pPr>
              <w:spacing w:after="0" w:line="560" w:lineRule="exact"/>
              <w:jc w:val="center"/>
              <w:rPr>
                <w:rFonts w:ascii="仿宋_GB2312" w:eastAsia="仿宋_GB2312" w:cs="ArialUnicodeMS"/>
                <w:kern w:val="0"/>
                <w:sz w:val="28"/>
                <w:szCs w:val="28"/>
              </w:rPr>
            </w:pPr>
            <w:r>
              <w:rPr>
                <w:rFonts w:ascii="方正书宋_GBK" w:eastAsia="方正书宋_GBK" w:hint="eastAsia"/>
                <w:sz w:val="28"/>
                <w:szCs w:val="28"/>
              </w:rPr>
              <w:t>财政性资金基本保证</w:t>
            </w:r>
          </w:p>
        </w:tc>
      </w:tr>
      <w:tr>
        <w:trPr>
          <w:trHeight w:val="606"/>
        </w:trPr>
        <w:tc>
          <w:tcPr>
            <w:tcW w:w="9580" w:type="dxa"/>
            <w:gridSpan w:val="4"/>
            <w:tcBorders>
              <w:top w:val="single" w:sz="4" w:space="0" w:color="auto"/>
              <w:left w:val="nil"/>
              <w:bottom w:val="nil"/>
              <w:right w:val="nil"/>
            </w:tcBorders>
            <w:noWrap/>
          </w:tcPr>
          <w:p>
            <w:pPr>
              <w:spacing w:after="0" w:line="560" w:lineRule="exact"/>
              <w:ind w:firstLineChars="200" w:firstLine="560"/>
              <w:jc w:val="left"/>
              <w:rPr>
                <w:rFonts w:ascii="仿宋_GB2312" w:eastAsia="仿宋_GB2312" w:cs="ArialUnicodeMS"/>
                <w:kern w:val="0"/>
                <w:sz w:val="28"/>
                <w:szCs w:val="28"/>
              </w:rPr>
            </w:pPr>
          </w:p>
        </w:tc>
      </w:tr>
    </w:tbl>
    <w:p>
      <w:pPr>
        <w:ind w:firstLineChars="200" w:firstLine="560"/>
        <w:rPr>
          <w:rFonts w:ascii="宋体" w:eastAsia="宋体"/>
          <w:sz w:val="28"/>
          <w:szCs w:val="28"/>
        </w:rPr>
      </w:pPr>
      <w:r>
        <w:rPr>
          <w:rFonts w:ascii="宋体" w:eastAsia="宋体" w:cs="宋体" w:hint="eastAsia"/>
          <w:sz w:val="28"/>
          <w:szCs w:val="28"/>
        </w:rPr>
        <w:t>文化馆下设：综合办公室、办公室、财务室、档案室、音乐舞蹈研创部、美术研创部、戏曲创作研创部、非遗办公室、艺术团；</w:t>
      </w:r>
      <w:r>
        <w:rPr>
          <w:rFonts w:ascii="宋体" w:eastAsia="宋体" w:cs="宋体"/>
          <w:sz w:val="28"/>
          <w:szCs w:val="28"/>
        </w:rPr>
        <w:t xml:space="preserve"> </w:t>
      </w:r>
      <w:r>
        <w:rPr>
          <w:rFonts w:ascii="宋体" w:eastAsia="宋体" w:cs="宋体" w:hint="eastAsia"/>
          <w:sz w:val="28"/>
          <w:szCs w:val="28"/>
        </w:rPr>
        <w:t>主要对外开放窗口：第一书画室、第二书画室、剪纸培训室、非遗展厅、综合培训室、录音棚、</w:t>
      </w:r>
      <w:r>
        <w:rPr>
          <w:rFonts w:ascii="宋体" w:eastAsia="宋体" w:cs="宋体"/>
          <w:sz w:val="28"/>
          <w:szCs w:val="28"/>
        </w:rPr>
        <w:t>MIDI</w:t>
      </w:r>
      <w:r>
        <w:rPr>
          <w:rFonts w:ascii="宋体" w:eastAsia="宋体" w:cs="宋体" w:hint="eastAsia"/>
          <w:sz w:val="28"/>
          <w:szCs w:val="28"/>
        </w:rPr>
        <w:t>制作室、排练厅、艺术沙龙、民乐团、钢琴室、乐学园教室、电子阅览室、剧院、群众文化活动中心。</w:t>
      </w:r>
    </w:p>
    <w:p>
      <w:pPr>
        <w:ind w:firstLineChars="200" w:firstLine="560"/>
        <w:rPr>
          <w:rFonts w:ascii="宋体" w:eastAsia="宋体"/>
          <w:b/>
          <w:bCs/>
          <w:sz w:val="28"/>
          <w:szCs w:val="28"/>
        </w:rPr>
      </w:pPr>
      <w:r>
        <w:rPr>
          <w:rFonts w:ascii="宋体" w:eastAsia="宋体" w:cs="宋体" w:hint="eastAsia"/>
          <w:sz w:val="28"/>
          <w:szCs w:val="28"/>
        </w:rPr>
        <w:t>人员情况：文化馆现有全额事业编制</w:t>
      </w:r>
      <w:r>
        <w:rPr>
          <w:rFonts w:ascii="宋体" w:eastAsia="宋体" w:cs="宋体"/>
          <w:sz w:val="28"/>
          <w:szCs w:val="28"/>
        </w:rPr>
        <w:t>2</w:t>
      </w:r>
      <w:r>
        <w:rPr>
          <w:rFonts w:ascii="宋体" w:eastAsia="宋体" w:cs="宋体" w:hint="eastAsia"/>
          <w:sz w:val="28"/>
          <w:szCs w:val="28"/>
        </w:rPr>
        <w:t>2个，现有人员在编</w:t>
      </w:r>
      <w:r>
        <w:rPr>
          <w:rFonts w:ascii="宋体" w:eastAsia="宋体" w:cs="宋体"/>
          <w:sz w:val="28"/>
          <w:szCs w:val="28"/>
        </w:rPr>
        <w:t>22</w:t>
      </w:r>
      <w:r>
        <w:rPr>
          <w:rFonts w:ascii="宋体" w:eastAsia="宋体" w:cs="宋体" w:hint="eastAsia"/>
          <w:sz w:val="28"/>
          <w:szCs w:val="28"/>
        </w:rPr>
        <w:t>人，人事代理</w:t>
      </w:r>
      <w:r>
        <w:rPr>
          <w:rFonts w:ascii="宋体" w:eastAsia="宋体" w:cs="宋体"/>
          <w:sz w:val="28"/>
          <w:szCs w:val="28"/>
        </w:rPr>
        <w:t>2</w:t>
      </w:r>
      <w:r>
        <w:rPr>
          <w:rFonts w:ascii="宋体" w:eastAsia="宋体" w:cs="宋体" w:hint="eastAsia"/>
          <w:sz w:val="28"/>
          <w:szCs w:val="28"/>
        </w:rPr>
        <w:t>人，聘用制</w:t>
      </w:r>
      <w:r>
        <w:rPr>
          <w:rFonts w:ascii="宋体" w:eastAsia="宋体" w:cs="宋体"/>
          <w:sz w:val="28"/>
          <w:szCs w:val="28"/>
        </w:rPr>
        <w:t>1</w:t>
      </w:r>
      <w:r>
        <w:rPr>
          <w:rFonts w:ascii="宋体" w:eastAsia="宋体" w:cs="宋体" w:hint="eastAsia"/>
          <w:sz w:val="28"/>
          <w:szCs w:val="28"/>
        </w:rPr>
        <w:t>人，劳务派遣5人，退休</w:t>
      </w:r>
      <w:r>
        <w:rPr>
          <w:rFonts w:ascii="宋体" w:eastAsia="宋体" w:cs="宋体"/>
          <w:sz w:val="28"/>
          <w:szCs w:val="28"/>
        </w:rPr>
        <w:t>1</w:t>
      </w:r>
      <w:r>
        <w:rPr>
          <w:rFonts w:ascii="宋体" w:eastAsia="宋体" w:cs="宋体" w:hint="eastAsia"/>
          <w:sz w:val="28"/>
          <w:szCs w:val="28"/>
        </w:rPr>
        <w:t>1人，自收自支1人。</w:t>
      </w:r>
    </w:p>
    <w:p>
      <w:pPr>
        <w:spacing w:after="0" w:line="560" w:lineRule="exact"/>
        <w:rPr>
          <w:rFonts w:ascii="仿宋_GB2312" w:eastAsia="仿宋_GB2312" w:cs="ArialUnicodeMS"/>
          <w:kern w:val="0"/>
          <w:sz w:val="32"/>
          <w:szCs w:val="32"/>
        </w:rPr>
      </w:pPr>
    </w:p>
    <w:p>
      <w:pPr>
        <w:widowControl/>
        <w:spacing w:line="560" w:lineRule="exact"/>
        <w:jc w:val="center"/>
        <w:rPr>
          <w:rFonts w:ascii="黑体" w:eastAsia="黑体" w:cs="MS-UIGothic,Bold"/>
          <w:bCs/>
          <w:kern w:val="0"/>
          <w:sz w:val="52"/>
          <w:szCs w:val="52"/>
        </w:rPr>
      </w:pPr>
    </w:p>
    <w:p>
      <w:pPr>
        <w:widowControl/>
        <w:spacing w:line="560" w:lineRule="exact"/>
        <w:jc w:val="center"/>
        <w:rPr>
          <w:rFonts w:ascii="黑体" w:eastAsia="黑体" w:cs="MS-UIGothic,Bold"/>
          <w:bCs/>
          <w:kern w:val="0"/>
          <w:sz w:val="52"/>
          <w:szCs w:val="52"/>
        </w:rPr>
      </w:pPr>
    </w:p>
    <w:p>
      <w:pPr>
        <w:widowControl/>
        <w:spacing w:line="560" w:lineRule="exact"/>
        <w:jc w:val="center"/>
        <w:rPr>
          <w:rFonts w:ascii="黑体" w:eastAsia="黑体" w:cs="MS-UIGothic,Bold"/>
          <w:bCs/>
          <w:kern w:val="0"/>
          <w:sz w:val="52"/>
          <w:szCs w:val="52"/>
        </w:rPr>
        <w:sectPr>
          <w:pgSz w:w="11906" w:h="16838"/>
          <w:pgMar w:top="2098" w:right="1474" w:bottom="1984" w:left="1588" w:header="851" w:footer="992" w:gutter="0"/>
          <w:docGrid w:type="lines" w:linePitch="312" w:charSpace="0"/>
        </w:sectPr>
      </w:pPr>
    </w:p>
    <w:p>
      <w:pPr>
        <w:widowControl/>
        <w:spacing w:line="560" w:lineRule="exact"/>
        <w:jc w:val="center"/>
        <w:rPr>
          <w:rFonts w:ascii="黑体" w:eastAsia="黑体" w:cs="MS-UIGothic,Bold"/>
          <w:bCs/>
          <w:kern w:val="0"/>
          <w:sz w:val="52"/>
          <w:szCs w:val="52"/>
        </w:rPr>
      </w:pPr>
      <w:r>
        <w:rPr>
          <w:rFonts w:ascii="宋体" w:cs="ArialUnicodeMS" w:hint="eastAsia"/>
          <w:color w:val="000000"/>
          <w:kern w:val="0"/>
        </w:rPr>
        <w:drawing>
          <wp:anchor distT="0" distB="0" distL="0" distR="0" simplePos="0" relativeHeight="8" behindDoc="1" locked="0" layoutInCell="1" hidden="0" allowOverlap="1">
            <wp:simplePos x="0" y="0"/>
            <wp:positionH relativeFrom="column">
              <wp:posOffset>-1023619</wp:posOffset>
            </wp:positionH>
            <wp:positionV relativeFrom="paragraph">
              <wp:posOffset>-1327150</wp:posOffset>
            </wp:positionV>
            <wp:extent cx="7571105" cy="10680065"/>
            <wp:effectExtent l="0" t="0" r="0" b="0"/>
            <wp:wrapNone/>
            <wp:docPr id="37" name="图片 16"/>
            <wp:cNvGraphicFramePr>
              <a:graphicFrameLocks noChangeAspect="0"/>
            </wp:cNvGraphicFramePr>
            <a:graphic>
              <a:graphicData uri="http://schemas.openxmlformats.org/drawingml/2006/picture">
                <pic:pic>
                  <pic:nvPicPr>
                    <pic:cNvPr id="38" name="图片 16 38"/>
                    <pic:cNvPicPr/>
                  </pic:nvPicPr>
                  <pic:blipFill>
                    <a:blip r:embed="rId4"/>
                    <a:stretch>
                      <a:fillRect/>
                    </a:stretch>
                  </pic:blipFill>
                  <pic:spPr>
                    <a:xfrm rot="0">
                      <a:off x="0" y="0"/>
                      <a:ext cx="7571105" cy="10680065"/>
                    </a:xfrm>
                    <a:prstGeom prst="rect"/>
                    <a:noFill/>
                    <a:ln w="9525" cmpd="sng" cap="flat">
                      <a:noFill/>
                      <a:prstDash val="solid"/>
                      <a:miter/>
                    </a:ln>
                  </pic:spPr>
                </pic:pic>
              </a:graphicData>
            </a:graphic>
          </wp:anchor>
        </w:drawing>
      </w:r>
    </w:p>
    <w:p>
      <w:pPr>
        <w:widowControl/>
        <w:spacing w:line="560" w:lineRule="exact"/>
        <w:jc w:val="center"/>
        <w:rPr>
          <w:rFonts w:ascii="黑体" w:eastAsia="黑体" w:cs="MS-UIGothic,Bold"/>
          <w:bCs/>
          <w:kern w:val="0"/>
          <w:sz w:val="52"/>
          <w:szCs w:val="52"/>
        </w:rPr>
      </w:pPr>
    </w:p>
    <w:p>
      <w:pPr>
        <w:rPr>
          <w:rFonts w:ascii="宋体" w:cs="ArialUnicodeMS"/>
          <w:color w:val="000000"/>
          <w:kern w:val="0"/>
        </w:rPr>
        <w:sectPr>
          <w:pgSz w:w="11906" w:h="16838"/>
          <w:pgMar w:top="2098" w:right="1474" w:bottom="1984" w:left="1588" w:header="851" w:footer="992" w:gutter="0"/>
          <w:docGrid w:type="lines" w:linePitch="312" w:charSpace="0"/>
        </w:sectPr>
      </w:pPr>
      <w:r>
        <w:rPr>
          <w:sz w:val="72"/>
        </w:rPr>
        <mc:AlternateContent>
          <mc:Choice Requires="wps">
            <w:drawing>
              <wp:anchor distT="0" distB="0" distL="91438" distR="91438" simplePos="0" relativeHeight="73" behindDoc="0" locked="0" layoutInCell="1" hidden="0" allowOverlap="1">
                <wp:simplePos x="0" y="0"/>
                <wp:positionH relativeFrom="column">
                  <wp:posOffset>-942339</wp:posOffset>
                </wp:positionH>
                <wp:positionV relativeFrom="paragraph">
                  <wp:posOffset>1889125</wp:posOffset>
                </wp:positionV>
                <wp:extent cx="7571740" cy="1659255"/>
                <wp:effectExtent l="0" t="0" r="0" b="0"/>
                <wp:wrapNone/>
                <wp:docPr id="39" name="1040"/>
                <wp:cNvGraphicFramePr>
                  <a:graphicFrameLocks noChangeAspect="0"/>
                </wp:cNvGraphicFramePr>
                <a:graphic>
                  <a:graphicData uri="http://schemas.microsoft.com/office/word/2010/wordprocessingShape">
                    <wps:wsp>
                      <wps:cNvSpPr/>
                      <wps:spPr>
                        <a:xfrm rot="0">
                          <a:off x="0" y="0"/>
                          <a:ext cx="7571740" cy="1659255"/>
                        </a:xfrm>
                        <a:prstGeom prst="rect"/>
                        <a:noFill/>
                        <a:ln w="9525" cmpd="sng" cap="flat">
                          <a:noFill/>
                          <a:prstDash val="solid"/>
                          <a:miter/>
                        </a:ln>
                      </wps:spPr>
                      <wps:txbx id="40">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第二部分</w:t>
                            </w:r>
                          </w:p>
                          <w:p>
                            <w:pPr>
                              <w:widowControl/>
                              <w:spacing w:line="1200" w:lineRule="exact"/>
                              <w:jc w:val="center"/>
                              <w:rPr>
                                <w:color w:val="FDEFBE"/>
                                <w:sz w:val="96"/>
                                <w:szCs w:val="96"/>
                              </w:rPr>
                            </w:pPr>
                            <w:r>
                              <w:rPr>
                                <w:rFonts w:ascii="黑体" w:eastAsia="黑体" w:hint="eastAsia"/>
                                <w:color w:val="FDEFBE"/>
                                <w:sz w:val="96"/>
                                <w:szCs w:val="96"/>
                              </w:rPr>
                              <w:t>2018年度部门决算报表</w:t>
                            </w:r>
                          </w:p>
                        </w:txbxContent>
                      </wps:txbx>
                      <wps:bodyPr vert="horz" wrap="square" lIns="91440" tIns="45720" rIns="91440" bIns="45720" anchor="t" anchorCtr="0" upright="1">
                        <a:noAutofit/>
                      </wps:bodyPr>
                    </wps:wsp>
                  </a:graphicData>
                </a:graphic>
              </wp:anchor>
            </w:drawing>
          </mc:Choice>
          <mc:Fallback>
            <w:pict>
              <v:rect type="#_x0000_t1" id="1040 41" o:spid="_x0000_s41" filled="f" stroked="f" style="position:absolute;margin-left:-74.2pt;margin-top:148.75pt;width:596.2pt;height:130.65pt;z-index:73;mso-position-horizontal:absolute;mso-position-vertical:absolute;mso-wrap-distance-left:7.19989pt;mso-wrap-distance-right:7.19989pt;mso-wrap-style:square;">
                <v:stroke color="#000000"/>
                <v:textbox id="864" inset="2.54mm,1.27mm,2.54mm,1.27mm" o:insetmode="custom" style="layout-flow:horizontal;v-text-anchor:top;">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第二部分</w:t>
                      </w:r>
                    </w:p>
                    <w:p>
                      <w:pPr>
                        <w:widowControl/>
                        <w:spacing w:line="1200" w:lineRule="exact"/>
                        <w:jc w:val="center"/>
                        <w:rPr>
                          <w:color w:val="FDEFBE"/>
                          <w:sz w:val="96"/>
                          <w:szCs w:val="96"/>
                        </w:rPr>
                      </w:pPr>
                      <w:r>
                        <w:rPr>
                          <w:rFonts w:ascii="黑体" w:eastAsia="黑体" w:hint="eastAsia"/>
                          <w:color w:val="FDEFBE"/>
                          <w:sz w:val="96"/>
                          <w:szCs w:val="96"/>
                        </w:rPr>
                        <w:t>2018年度部门决算报表</w:t>
                      </w:r>
                    </w:p>
                  </w:txbxContent>
                </v:textbox>
              </v:rect>
            </w:pict>
          </mc:Fallback>
        </mc:AlternateContent>
      </w:r>
    </w:p>
    <w:p>
      <w:pPr>
        <w:spacing w:line="14" w:lineRule="exact"/>
        <w:rPr>
          <w:rFonts w:ascii="宋体" w:cs="ArialUnicodeMS"/>
          <w:color w:val="000000"/>
          <w:kern w:val="0"/>
        </w:rPr>
      </w:pPr>
    </w:p>
    <w:tbl>
      <w:tblPr>
        <w:jc w:val="center"/>
        <w:tblW w:w="93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2700"/>
        <w:gridCol w:w="567"/>
        <w:gridCol w:w="1336"/>
        <w:gridCol w:w="2700"/>
        <w:gridCol w:w="567"/>
        <w:gridCol w:w="1430"/>
      </w:tblGrid>
      <w:tr>
        <w:trPr>
          <w:trHeight w:val="567"/>
        </w:trPr>
        <w:tc>
          <w:tcPr>
            <w:tcW w:w="9300" w:type="dxa"/>
            <w:gridSpan w:val="6"/>
            <w:tcBorders>
              <w:top w:val="nil"/>
              <w:left w:val="nil"/>
              <w:bottom w:val="nil"/>
              <w:right w:val="nil"/>
            </w:tcBorders>
            <w:shd w:val="clear" w:color="auto" w:fill="auto"/>
            <w:noWrap/>
            <w:tcMar>
              <w:top w:w="15" w:type="dxa"/>
              <w:left w:w="15" w:type="dxa"/>
              <w:right w:w="15" w:type="dxa"/>
            </w:tcMar>
            <w:vAlign w:val="center"/>
          </w:tcPr>
          <w:p>
            <w:pPr>
              <w:widowControl/>
              <w:spacing w:after="0" w:line="440" w:lineRule="exact"/>
              <w:jc w:val="center"/>
              <w:textAlignment w:val="center"/>
              <w:rPr>
                <w:rFonts w:ascii="黑体" w:eastAsia="黑体" w:cs="黑体"/>
                <w:color w:val="000000"/>
                <w:sz w:val="40"/>
                <w:szCs w:val="40"/>
              </w:rPr>
            </w:pPr>
            <w:r>
              <w:rPr>
                <w:sz w:val="44"/>
              </w:rPr>
              <mc:AlternateContent>
                <mc:Choice Requires="wps">
                  <w:drawing>
                    <wp:anchor distT="0" distB="0" distL="91438" distR="91438" simplePos="0" relativeHeight="87" behindDoc="0" locked="1" layoutInCell="1" hidden="0" allowOverlap="1">
                      <wp:simplePos x="0" y="0"/>
                      <wp:positionH relativeFrom="column">
                        <wp:posOffset>-892174</wp:posOffset>
                      </wp:positionH>
                      <wp:positionV relativeFrom="page">
                        <wp:posOffset>-1039496</wp:posOffset>
                      </wp:positionV>
                      <wp:extent cx="3089274" cy="523242"/>
                      <wp:effectExtent l="0" t="0" r="0" b="0"/>
                      <wp:wrapNone/>
                      <wp:docPr id="42" name="组合"/>
                      <wp:cNvGraphicFramePr>
                        <a:graphicFrameLocks noChangeAspect="0"/>
                      </wp:cNvGraphicFramePr>
                      <a:graphic>
                        <a:graphicData uri="http://schemas.microsoft.com/office/word/2010/wordprocessingGroup">
                          <wpg:wgp>
                            <wpg:cNvPr id="43" name="组合 43"/>
                            <wpg:cNvGrpSpPr/>
                            <wpg:grpSpPr>
                              <a:xfrm rot="0">
                                <a:off x="0" y="0"/>
                                <a:ext cx="3089274" cy="523242"/>
                                <a:chOff x="0" y="0"/>
                                <a:chExt cx="3089274" cy="523242"/>
                              </a:xfrm>
                              <a:prstGeom prst="rect"/>
                              <a:solidFill>
                                <a:srgbClr val="FFFFFF"/>
                              </a:solidFill>
                              <a:ln w="9525" cmpd="sng" cap="flat">
                                <a:solidFill>
                                  <a:srgbClr val="000000"/>
                                </a:solidFill>
                                <a:prstDash val="solid"/>
                                <a:miter/>
                              </a:ln>
                            </wpg:grpSpPr>
                            <wps:wsp>
                              <wps:cNvPr id="44" name="_s48 44"/>
                              <wps:cNvSpPr/>
                              <wps:spPr>
                                <a:xfrm rot="0">
                                  <a:off x="0" y="0"/>
                                  <a:ext cx="3089274"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45" name="_s49 45"/>
                              <wps:cNvSpPr/>
                              <wps:spPr>
                                <a:xfrm rot="0">
                                  <a:off x="9526" y="103505"/>
                                  <a:ext cx="3008613" cy="419736"/>
                                </a:xfrm>
                                <a:prstGeom prst="rect"/>
                                <a:solidFill>
                                  <a:srgbClr val="AD002D"/>
                                </a:solidFill>
                                <a:ln w="25400" cmpd="sng" cap="flat">
                                  <a:solidFill>
                                    <a:srgbClr val="AF7621"/>
                                  </a:solidFill>
                                  <a:prstDash val="solid"/>
                                  <a:miter/>
                                </a:ln>
                              </wps:spPr>
                              <wps:txbx id="46">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47" o:spid="_x0000_s47" coordorigin="-29,634" coordsize="4864,824" style="position:absolute;margin-left:-70.24999pt;margin-top:-81.85012pt;width:243.24997pt;height:41.200157pt;z-index:87;mso-position-horizontal:absolute;mso-position-vertical:absolute;mso-position-vertical-relative:page;mso-wrap-distance-left:7.19989pt;mso-wrap-distance-right:7.19989pt;">
                      <v:rect type="#_x0000_t1" id="_s48" o:spid="_x0000_s48" style="position:absolute;left:-29;top:634;width:4864;height:692;" fillcolor="#D8D8D8" stroked="f">
                        <v:stroke color="#000000"/>
                      </v:rect>
                      <v:rect type="#_x0000_t1" id="_s49" o:spid="_x0000_s49" style="position:absolute;left:-14;top:797;width:4737;height:661;mso-wrap-style:square;" fillcolor="#AD002D" stroked="t" strokeweight="2.0pt">
                        <v:textbox id="865"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收入支出决算总表</w:t>
            </w:r>
          </w:p>
        </w:tc>
      </w:tr>
      <w:tr>
        <w:trPr>
          <w:trHeight w:val="321"/>
        </w:trPr>
        <w:tc>
          <w:tcPr>
            <w:tcW w:w="270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Arial" w:cs="Arial" w:hAnsi="Arial"/>
                <w:color w:val="000000"/>
                <w:sz w:val="20"/>
                <w:szCs w:val="20"/>
              </w:rPr>
            </w:pPr>
          </w:p>
        </w:tc>
        <w:tc>
          <w:tcPr>
            <w:tcW w:w="56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Arial" w:cs="Arial" w:hAnsi="Arial"/>
                <w:color w:val="000000"/>
                <w:sz w:val="20"/>
                <w:szCs w:val="20"/>
              </w:rPr>
            </w:pPr>
          </w:p>
        </w:tc>
        <w:tc>
          <w:tcPr>
            <w:tcW w:w="1336"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Arial" w:cs="Arial" w:hAnsi="Arial"/>
                <w:color w:val="000000"/>
                <w:sz w:val="20"/>
                <w:szCs w:val="20"/>
              </w:rPr>
            </w:pPr>
          </w:p>
        </w:tc>
        <w:tc>
          <w:tcPr>
            <w:tcW w:w="270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Arial" w:cs="Arial" w:hAnsi="Arial"/>
                <w:color w:val="000000"/>
                <w:sz w:val="20"/>
                <w:szCs w:val="20"/>
              </w:rPr>
            </w:pPr>
          </w:p>
        </w:tc>
        <w:tc>
          <w:tcPr>
            <w:tcW w:w="56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Arial" w:cs="Arial" w:hAnsi="Arial"/>
                <w:color w:val="000000"/>
                <w:sz w:val="20"/>
                <w:szCs w:val="20"/>
              </w:rPr>
            </w:pPr>
          </w:p>
        </w:tc>
        <w:tc>
          <w:tcPr>
            <w:tcW w:w="143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jc w:val="right"/>
              <w:textAlignment w:val="center"/>
              <w:rPr>
                <w:rFonts w:ascii="宋体" w:cs="宋体"/>
                <w:color w:val="000000"/>
                <w:sz w:val="20"/>
                <w:szCs w:val="20"/>
              </w:rPr>
            </w:pPr>
            <w:r>
              <w:rPr>
                <w:rFonts w:ascii="宋体" w:cs="宋体" w:hint="eastAsia"/>
                <w:color w:val="000000"/>
                <w:kern w:val="0"/>
                <w:sz w:val="20"/>
                <w:szCs w:val="20"/>
              </w:rPr>
              <w:t>公开01表</w:t>
            </w:r>
          </w:p>
        </w:tc>
      </w:tr>
      <w:tr>
        <w:trPr>
          <w:trHeight w:val="418"/>
        </w:trPr>
        <w:tc>
          <w:tcPr>
            <w:tcW w:w="270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jc w:val="left"/>
              <w:textAlignment w:val="center"/>
              <w:rPr>
                <w:rFonts w:ascii="宋体" w:cs="宋体"/>
                <w:color w:val="000000"/>
                <w:sz w:val="20"/>
                <w:szCs w:val="20"/>
              </w:rPr>
            </w:pPr>
            <w:r>
              <w:rPr>
                <w:rFonts w:ascii="宋体" w:cs="宋体" w:hint="eastAsia"/>
                <w:color w:val="000000"/>
                <w:kern w:val="0"/>
                <w:sz w:val="20"/>
                <w:szCs w:val="20"/>
              </w:rPr>
              <w:t>部门：唐山市丰南区文化馆</w:t>
            </w:r>
          </w:p>
        </w:tc>
        <w:tc>
          <w:tcPr>
            <w:tcW w:w="56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宋体" w:cs="宋体"/>
                <w:color w:val="000000"/>
                <w:sz w:val="20"/>
                <w:szCs w:val="20"/>
              </w:rPr>
            </w:pPr>
          </w:p>
        </w:tc>
        <w:tc>
          <w:tcPr>
            <w:tcW w:w="1336"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宋体" w:cs="宋体"/>
                <w:color w:val="000000"/>
                <w:sz w:val="20"/>
                <w:szCs w:val="20"/>
              </w:rPr>
            </w:pPr>
          </w:p>
        </w:tc>
        <w:tc>
          <w:tcPr>
            <w:tcW w:w="270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宋体" w:cs="宋体"/>
                <w:color w:val="000000"/>
                <w:sz w:val="20"/>
                <w:szCs w:val="20"/>
              </w:rPr>
            </w:pPr>
          </w:p>
        </w:tc>
        <w:tc>
          <w:tcPr>
            <w:tcW w:w="56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rPr>
                <w:rFonts w:ascii="宋体" w:cs="宋体"/>
                <w:color w:val="000000"/>
                <w:sz w:val="20"/>
                <w:szCs w:val="20"/>
              </w:rPr>
            </w:pPr>
          </w:p>
        </w:tc>
        <w:tc>
          <w:tcPr>
            <w:tcW w:w="143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exact"/>
              <w:jc w:val="right"/>
              <w:textAlignment w:val="center"/>
              <w:rPr>
                <w:rFonts w:ascii="宋体" w:cs="宋体"/>
                <w:color w:val="000000"/>
                <w:sz w:val="20"/>
                <w:szCs w:val="20"/>
              </w:rPr>
            </w:pPr>
            <w:r>
              <w:rPr>
                <w:rFonts w:ascii="宋体" w:cs="宋体" w:hint="eastAsia"/>
                <w:color w:val="000000"/>
                <w:kern w:val="0"/>
                <w:sz w:val="20"/>
                <w:szCs w:val="20"/>
              </w:rPr>
              <w:t>金额单位：</w:t>
            </w:r>
            <w:r>
              <w:rPr>
                <w:rFonts w:ascii="宋体" w:cs="宋体" w:hint="eastAsia"/>
                <w:color w:val="000000"/>
                <w:kern w:val="0"/>
                <w:sz w:val="20"/>
                <w:szCs w:val="20"/>
                <w:lang w:eastAsia="zh-CN"/>
              </w:rPr>
              <w:t>万</w:t>
            </w:r>
            <w:r>
              <w:rPr>
                <w:rFonts w:ascii="宋体" w:cs="宋体" w:hint="eastAsia"/>
                <w:color w:val="000000"/>
                <w:kern w:val="0"/>
                <w:sz w:val="20"/>
                <w:szCs w:val="20"/>
              </w:rPr>
              <w:t>元</w:t>
            </w:r>
          </w:p>
        </w:tc>
      </w:tr>
      <w:tr>
        <w:trPr>
          <w:trHeight w:val="295"/>
        </w:trPr>
        <w:tc>
          <w:tcPr>
            <w:tcW w:w="460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收入</w:t>
            </w:r>
          </w:p>
        </w:tc>
        <w:tc>
          <w:tcPr>
            <w:tcW w:w="4697"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支出</w:t>
            </w:r>
          </w:p>
        </w:tc>
      </w:tr>
      <w:tr>
        <w:trPr>
          <w:trHeight w:val="295"/>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项目</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行次</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金额</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项目</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行次</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2"/>
                <w:szCs w:val="22"/>
              </w:rPr>
            </w:pPr>
            <w:r>
              <w:rPr>
                <w:rFonts w:ascii="宋体" w:cs="宋体" w:hint="eastAsia"/>
                <w:color w:val="000000"/>
                <w:kern w:val="0"/>
                <w:sz w:val="22"/>
                <w:szCs w:val="22"/>
              </w:rPr>
              <w:t>金额</w:t>
            </w:r>
          </w:p>
        </w:tc>
      </w:tr>
      <w:tr>
        <w:trPr>
          <w:trHeight w:val="295"/>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0"/>
                <w:szCs w:val="20"/>
              </w:rPr>
            </w:pPr>
            <w:r>
              <w:rPr>
                <w:rFonts w:ascii="宋体" w:cs="宋体" w:hint="eastAsia"/>
                <w:color w:val="000000"/>
                <w:kern w:val="0"/>
                <w:sz w:val="20"/>
                <w:szCs w:val="20"/>
              </w:rPr>
              <w:t>栏次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rPr>
                <w:rFonts w:ascii="宋体" w:cs="宋体"/>
                <w:color w:val="000000"/>
                <w:sz w:val="20"/>
                <w:szCs w:val="20"/>
              </w:rPr>
            </w:pP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0"/>
                <w:szCs w:val="20"/>
              </w:rPr>
            </w:pPr>
            <w:r>
              <w:rPr>
                <w:rFonts w:ascii="宋体" w:cs="宋体" w:hint="eastAsia"/>
                <w:color w:val="000000"/>
                <w:kern w:val="0"/>
                <w:sz w:val="20"/>
                <w:szCs w:val="20"/>
              </w:rPr>
              <w:t>1</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0"/>
                <w:szCs w:val="20"/>
              </w:rPr>
            </w:pPr>
            <w:r>
              <w:rPr>
                <w:rFonts w:ascii="宋体" w:cs="宋体" w:hint="eastAsia"/>
                <w:color w:val="000000"/>
                <w:kern w:val="0"/>
                <w:sz w:val="20"/>
                <w:szCs w:val="20"/>
              </w:rPr>
              <w:t>栏次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rPr>
                <w:rFonts w:ascii="宋体" w:cs="宋体"/>
                <w:color w:val="000000"/>
                <w:sz w:val="20"/>
                <w:szCs w:val="20"/>
              </w:rPr>
            </w:pP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exact"/>
              <w:jc w:val="center"/>
              <w:textAlignment w:val="center"/>
              <w:rPr>
                <w:rFonts w:ascii="宋体" w:cs="宋体"/>
                <w:color w:val="000000"/>
                <w:sz w:val="20"/>
                <w:szCs w:val="20"/>
              </w:rPr>
            </w:pPr>
            <w:r>
              <w:rPr>
                <w:rFonts w:ascii="宋体" w:cs="宋体" w:hint="eastAsia"/>
                <w:color w:val="000000"/>
                <w:kern w:val="0"/>
                <w:sz w:val="20"/>
                <w:szCs w:val="20"/>
              </w:rPr>
              <w:t>2</w:t>
            </w:r>
          </w:p>
        </w:tc>
      </w:tr>
      <w:tr>
        <w:trPr>
          <w:trHeight w:val="365"/>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一、财政拨款收入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r>
              <w:rPr>
                <w:rFonts w:ascii="宋体" w:cs="宋体" w:hint="eastAsia"/>
                <w:color w:val="000000"/>
                <w:sz w:val="20"/>
                <w:szCs w:val="20"/>
              </w:rPr>
              <w:t>433</w:t>
            </w:r>
            <w:r>
              <w:rPr>
                <w:rFonts w:ascii="宋体" w:cs="宋体" w:hint="eastAsia"/>
                <w:color w:val="000000"/>
                <w:sz w:val="20"/>
                <w:szCs w:val="20"/>
                <w:lang w:val="en-US" w:eastAsia="zh-CN"/>
              </w:rPr>
              <w:t>.</w:t>
            </w:r>
            <w:r>
              <w:rPr>
                <w:rFonts w:ascii="宋体" w:cs="宋体" w:hint="eastAsia"/>
                <w:color w:val="000000"/>
                <w:sz w:val="20"/>
                <w:szCs w:val="20"/>
              </w:rPr>
              <w:t>82</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一、一般公共服务支出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28</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二、上级补助收入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二、外交支出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29</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三、事业收入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三、国防支出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30</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四、经营收入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四、公共安全支出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31</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五、附属单位上缴收入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五、教育支出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32</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六、其他收入</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6</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六、科学技术支出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33</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7</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七、文化体育与传媒支出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34</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r>
              <w:rPr>
                <w:rFonts w:ascii="宋体" w:cs="宋体" w:hint="eastAsia"/>
                <w:color w:val="000000"/>
                <w:sz w:val="20"/>
                <w:szCs w:val="20"/>
              </w:rPr>
              <w:t>433</w:t>
            </w:r>
            <w:r>
              <w:rPr>
                <w:rFonts w:ascii="宋体" w:cs="宋体" w:hint="eastAsia"/>
                <w:color w:val="000000"/>
                <w:sz w:val="20"/>
                <w:szCs w:val="20"/>
                <w:lang w:val="en-US" w:eastAsia="zh-CN"/>
              </w:rPr>
              <w:t>.</w:t>
            </w:r>
            <w:r>
              <w:rPr>
                <w:rFonts w:ascii="宋体" w:cs="宋体" w:hint="eastAsia"/>
                <w:color w:val="000000"/>
                <w:sz w:val="20"/>
                <w:szCs w:val="20"/>
              </w:rPr>
              <w:t>84</w:t>
            </w: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8</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八、社会保障和就业支出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35</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9</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九、医疗卫生与计划生育支出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36</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10</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十、节能环保支出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37</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11</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十一、城乡社区支出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38</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12</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十二、农林水支出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39</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13</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十三、交通运输支出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40</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14</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十四、资源勘探信息等支出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41</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15</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十五、商业服务业等支出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42</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16</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十六、金融支出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43</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17</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十七、援助其他地区支出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44</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18</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十八、国土海洋气象等支出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45</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19</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十九、住房保障支出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46</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20</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二十、粮油物资储备支出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47</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21</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二十一、其他支出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48</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22</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二十二、债务还本支出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49</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rPr>
                <w:rFonts w:ascii="宋体" w:cs="宋体"/>
                <w:color w:val="000000"/>
                <w:sz w:val="20"/>
                <w:szCs w:val="20"/>
              </w:rPr>
            </w:pP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23</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二十三、债务付息支出</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50</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本年收入合计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24</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82</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本年支出合计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51</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r>
              <w:rPr>
                <w:rFonts w:ascii="宋体" w:cs="宋体" w:hint="eastAsia"/>
                <w:color w:val="000000"/>
                <w:sz w:val="20"/>
                <w:szCs w:val="20"/>
              </w:rPr>
              <w:t>433</w:t>
            </w:r>
            <w:r>
              <w:rPr>
                <w:rFonts w:ascii="宋体" w:cs="宋体" w:hint="eastAsia"/>
                <w:color w:val="000000"/>
                <w:sz w:val="20"/>
                <w:szCs w:val="20"/>
                <w:lang w:val="en-US" w:eastAsia="zh-CN"/>
              </w:rPr>
              <w:t>.</w:t>
            </w:r>
            <w:r>
              <w:rPr>
                <w:rFonts w:ascii="宋体" w:cs="宋体" w:hint="eastAsia"/>
                <w:color w:val="000000"/>
                <w:sz w:val="20"/>
                <w:szCs w:val="20"/>
              </w:rPr>
              <w:t>84</w:t>
            </w:r>
          </w:p>
        </w:tc>
      </w:tr>
      <w:tr>
        <w:trPr>
          <w:trHeight w:val="385"/>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用事业基金弥补收支差额</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25</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18"/>
                <w:szCs w:val="18"/>
              </w:rPr>
            </w:pP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结余分配</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52</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年初结转和结余</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26</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eastAsia="宋体" w:cs="宋体"/>
                <w:color w:val="000000"/>
                <w:sz w:val="18"/>
                <w:szCs w:val="18"/>
                <w:lang w:val="en-US" w:eastAsia="zh-CN"/>
              </w:rPr>
            </w:pPr>
            <w:r>
              <w:rPr>
                <w:rFonts w:ascii="宋体" w:cs="宋体" w:hint="eastAsia"/>
                <w:color w:val="000000"/>
                <w:sz w:val="18"/>
                <w:szCs w:val="18"/>
                <w:lang w:val="en-US" w:eastAsia="zh-CN"/>
              </w:rPr>
              <w:t>0.87</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 w:val="20"/>
                <w:szCs w:val="20"/>
              </w:rPr>
            </w:pPr>
            <w:r>
              <w:rPr>
                <w:rFonts w:ascii="宋体" w:cs="宋体" w:hint="eastAsia"/>
                <w:color w:val="000000"/>
                <w:kern w:val="0"/>
                <w:sz w:val="20"/>
                <w:szCs w:val="20"/>
              </w:rPr>
              <w:t>年末结转和结余</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53</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r>
              <w:rPr>
                <w:rFonts w:ascii="宋体" w:cs="宋体" w:hint="eastAsia"/>
                <w:color w:val="000000"/>
                <w:sz w:val="20"/>
                <w:szCs w:val="20"/>
                <w:lang w:val="en-US" w:eastAsia="zh-CN"/>
              </w:rPr>
              <w:t>0.</w:t>
            </w:r>
            <w:r>
              <w:rPr>
                <w:rFonts w:ascii="宋体" w:cs="宋体" w:hint="eastAsia"/>
                <w:color w:val="000000"/>
                <w:sz w:val="20"/>
                <w:szCs w:val="20"/>
              </w:rPr>
              <w:t>85</w:t>
            </w:r>
          </w:p>
        </w:tc>
      </w:tr>
      <w:tr>
        <w:trPr>
          <w:trHeight w:val="337"/>
        </w:trPr>
        <w:tc>
          <w:tcPr>
            <w:tcW w:w="2700"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b/>
                <w:color w:val="000000"/>
                <w:sz w:val="20"/>
                <w:szCs w:val="20"/>
              </w:rPr>
            </w:pPr>
            <w:r>
              <w:rPr>
                <w:rFonts w:ascii="宋体" w:cs="宋体" w:hint="eastAsia"/>
                <w:b/>
                <w:color w:val="000000"/>
                <w:kern w:val="0"/>
                <w:sz w:val="20"/>
                <w:szCs w:val="20"/>
              </w:rPr>
              <w:t>总计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27</w:t>
            </w:r>
          </w:p>
        </w:tc>
        <w:tc>
          <w:tcPr>
            <w:tcW w:w="133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18"/>
                <w:szCs w:val="18"/>
              </w:rPr>
            </w:pPr>
            <w:r>
              <w:rPr>
                <w:rFonts w:ascii="宋体" w:cs="宋体" w:hint="eastAsia"/>
                <w:color w:val="000000"/>
                <w:sz w:val="18"/>
                <w:szCs w:val="18"/>
              </w:rPr>
              <w:t>434</w:t>
            </w:r>
            <w:r>
              <w:rPr>
                <w:rFonts w:ascii="宋体" w:cs="宋体" w:hint="eastAsia"/>
                <w:color w:val="000000"/>
                <w:sz w:val="18"/>
                <w:szCs w:val="18"/>
                <w:lang w:val="en-US" w:eastAsia="zh-CN"/>
              </w:rPr>
              <w:t>.</w:t>
            </w:r>
            <w:r>
              <w:rPr>
                <w:rFonts w:ascii="宋体" w:cs="宋体" w:hint="eastAsia"/>
                <w:color w:val="000000"/>
                <w:sz w:val="18"/>
                <w:szCs w:val="18"/>
              </w:rPr>
              <w:t>69</w:t>
            </w:r>
          </w:p>
        </w:tc>
        <w:tc>
          <w:tcPr>
            <w:tcW w:w="270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b/>
                <w:color w:val="000000"/>
                <w:sz w:val="20"/>
                <w:szCs w:val="20"/>
              </w:rPr>
            </w:pPr>
            <w:r>
              <w:rPr>
                <w:rFonts w:ascii="宋体" w:cs="宋体" w:hint="eastAsia"/>
                <w:b/>
                <w:color w:val="000000"/>
                <w:kern w:val="0"/>
                <w:sz w:val="20"/>
                <w:szCs w:val="20"/>
              </w:rPr>
              <w:t>总计</w:t>
            </w:r>
          </w:p>
        </w:tc>
        <w:tc>
          <w:tcPr>
            <w:tcW w:w="56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center"/>
              <w:textAlignment w:val="center"/>
              <w:rPr>
                <w:rFonts w:ascii="宋体" w:cs="宋体"/>
                <w:color w:val="000000"/>
                <w:sz w:val="20"/>
                <w:szCs w:val="20"/>
              </w:rPr>
            </w:pPr>
            <w:r>
              <w:rPr>
                <w:rFonts w:ascii="宋体" w:cs="宋体" w:hint="eastAsia"/>
                <w:color w:val="000000"/>
                <w:kern w:val="0"/>
                <w:sz w:val="20"/>
                <w:szCs w:val="20"/>
              </w:rPr>
              <w:t>54</w:t>
            </w:r>
          </w:p>
        </w:tc>
        <w:tc>
          <w:tcPr>
            <w:tcW w:w="143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00" w:lineRule="exact"/>
              <w:jc w:val="right"/>
              <w:rPr>
                <w:rFonts w:ascii="宋体" w:cs="宋体"/>
                <w:color w:val="000000"/>
                <w:sz w:val="20"/>
                <w:szCs w:val="20"/>
              </w:rPr>
            </w:pPr>
            <w:r>
              <w:rPr>
                <w:rFonts w:ascii="宋体" w:cs="宋体" w:hint="eastAsia"/>
                <w:color w:val="000000"/>
                <w:sz w:val="20"/>
                <w:szCs w:val="20"/>
              </w:rPr>
              <w:t>434</w:t>
            </w:r>
            <w:r>
              <w:rPr>
                <w:rFonts w:ascii="宋体" w:cs="宋体" w:hint="eastAsia"/>
                <w:color w:val="000000"/>
                <w:sz w:val="20"/>
                <w:szCs w:val="20"/>
                <w:lang w:val="en-US" w:eastAsia="zh-CN"/>
              </w:rPr>
              <w:t>.</w:t>
            </w:r>
            <w:r>
              <w:rPr>
                <w:rFonts w:ascii="宋体" w:cs="宋体" w:hint="eastAsia"/>
                <w:color w:val="000000"/>
                <w:sz w:val="20"/>
                <w:szCs w:val="20"/>
              </w:rPr>
              <w:t>69</w:t>
            </w:r>
          </w:p>
        </w:tc>
      </w:tr>
      <w:tr>
        <w:trPr>
          <w:trHeight w:val="417"/>
        </w:trPr>
        <w:tc>
          <w:tcPr>
            <w:tcW w:w="9300" w:type="dxa"/>
            <w:gridSpan w:val="6"/>
            <w:tcBorders>
              <w:top w:val="nil"/>
              <w:left w:val="nil"/>
              <w:bottom w:val="nil"/>
              <w:right w:val="nil"/>
            </w:tcBorders>
            <w:shd w:val="clear" w:color="auto" w:fill="auto"/>
            <w:noWrap/>
            <w:tcMar>
              <w:top w:w="15" w:type="dxa"/>
              <w:left w:w="15" w:type="dxa"/>
              <w:right w:w="15" w:type="dxa"/>
            </w:tcMar>
            <w:vAlign w:val="center"/>
          </w:tcPr>
          <w:p>
            <w:pPr>
              <w:widowControl/>
              <w:spacing w:after="0" w:line="200" w:lineRule="exact"/>
              <w:jc w:val="left"/>
              <w:textAlignment w:val="center"/>
              <w:rPr>
                <w:rFonts w:ascii="宋体" w:cs="宋体"/>
                <w:color w:val="000000"/>
                <w:szCs w:val="21"/>
              </w:rPr>
            </w:pPr>
            <w:r>
              <w:rPr>
                <w:rFonts w:ascii="宋体" w:cs="宋体" w:hint="eastAsia"/>
                <w:color w:val="000000"/>
                <w:kern w:val="0"/>
                <w:szCs w:val="21"/>
              </w:rPr>
              <w:t>注：本表反映部门本年度的总收支和年末结转结余情况。</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center"/>
        <w:tblW w:w="88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335"/>
        <w:gridCol w:w="179"/>
        <w:gridCol w:w="457"/>
        <w:gridCol w:w="1275"/>
        <w:gridCol w:w="639"/>
        <w:gridCol w:w="260"/>
        <w:gridCol w:w="235"/>
        <w:gridCol w:w="580"/>
        <w:gridCol w:w="554"/>
        <w:gridCol w:w="262"/>
        <w:gridCol w:w="589"/>
        <w:gridCol w:w="226"/>
        <w:gridCol w:w="624"/>
        <w:gridCol w:w="191"/>
        <w:gridCol w:w="802"/>
        <w:gridCol w:w="850"/>
        <w:gridCol w:w="742"/>
      </w:tblGrid>
      <w:tr>
        <w:trPr>
          <w:trHeight w:val="770"/>
        </w:trPr>
        <w:tc>
          <w:tcPr>
            <w:tcW w:w="8800" w:type="dxa"/>
            <w:gridSpan w:val="17"/>
            <w:tcBorders>
              <w:top w:val="nil"/>
              <w:left w:val="nil"/>
              <w:bottom w:val="nil"/>
              <w:right w:val="nil"/>
            </w:tcBorders>
            <w:shd w:val="clear" w:color="auto" w:fill="auto"/>
            <w:noWrap/>
            <w:tcMar>
              <w:top w:w="15" w:type="dxa"/>
              <w:left w:w="15" w:type="dxa"/>
              <w:right w:w="15" w:type="dxa"/>
            </w:tcMar>
            <w:vAlign w:val="bottom"/>
          </w:tcPr>
          <w:p>
            <w:pPr>
              <w:widowControl/>
              <w:jc w:val="center"/>
              <w:textAlignment w:val="bottom"/>
              <w:rPr>
                <w:rFonts w:ascii="黑体" w:eastAsia="黑体" w:cs="黑体"/>
                <w:color w:val="000000"/>
                <w:sz w:val="40"/>
                <w:szCs w:val="40"/>
              </w:rPr>
            </w:pPr>
            <w:r>
              <w:rPr>
                <w:rFonts w:ascii="黑体" w:eastAsia="黑体" w:cs="黑体" w:hint="eastAsia"/>
                <w:color w:val="000000"/>
                <w:kern w:val="0"/>
                <w:sz w:val="40"/>
                <w:szCs w:val="40"/>
              </w:rPr>
              <w:t>收入决</w:t>
            </w:r>
            <w:r>
              <w:rPr>
                <w:sz w:val="44"/>
              </w:rPr>
              <mc:AlternateContent>
                <mc:Choice Requires="wps">
                  <w:drawing>
                    <wp:anchor distT="0" distB="0" distL="91438" distR="91438" simplePos="0" relativeHeight="89" behindDoc="0" locked="1" layoutInCell="1" hidden="0" allowOverlap="1">
                      <wp:simplePos x="0" y="0"/>
                      <wp:positionH relativeFrom="column">
                        <wp:posOffset>-1050925</wp:posOffset>
                      </wp:positionH>
                      <wp:positionV relativeFrom="page">
                        <wp:posOffset>-1029971</wp:posOffset>
                      </wp:positionV>
                      <wp:extent cx="3088639" cy="523242"/>
                      <wp:effectExtent l="0" t="0" r="0" b="0"/>
                      <wp:wrapNone/>
                      <wp:docPr id="50" name="组合"/>
                      <wp:cNvGraphicFramePr>
                        <a:graphicFrameLocks noChangeAspect="0"/>
                      </wp:cNvGraphicFramePr>
                      <a:graphic>
                        <a:graphicData uri="http://schemas.microsoft.com/office/word/2010/wordprocessingGroup">
                          <wpg:wgp>
                            <wpg:cNvPr id="51" name="组合 51"/>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52" name="_s56 52"/>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53" name="_s57 53"/>
                              <wps:cNvSpPr/>
                              <wps:spPr>
                                <a:xfrm rot="0">
                                  <a:off x="8891" y="103505"/>
                                  <a:ext cx="3008613" cy="419736"/>
                                </a:xfrm>
                                <a:prstGeom prst="rect"/>
                                <a:solidFill>
                                  <a:srgbClr val="AD002D"/>
                                </a:solidFill>
                                <a:ln w="25400" cmpd="sng" cap="flat">
                                  <a:solidFill>
                                    <a:srgbClr val="AF7621"/>
                                  </a:solidFill>
                                  <a:prstDash val="solid"/>
                                  <a:miter/>
                                </a:ln>
                              </wps:spPr>
                              <wps:txbx id="54">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55" o:spid="_x0000_s55" coordorigin="-29,475" coordsize="4863,824" style="position:absolute;margin-left:-82.74999pt;margin-top:-81.10013pt;width:243.19995pt;height:41.200157pt;z-index:89;mso-position-horizontal:absolute;mso-position-vertical:absolute;mso-position-vertical-relative:page;mso-wrap-distance-left:7.19989pt;mso-wrap-distance-right:7.19989pt;">
                      <v:rect type="#_x0000_t1" id="_s56" o:spid="_x0000_s56" style="position:absolute;left:-29;top:475;width:4863;height:692;" fillcolor="#D8D8D8" stroked="f">
                        <v:stroke color="#000000"/>
                      </v:rect>
                      <v:rect type="#_x0000_t1" id="_s57" o:spid="_x0000_s57" style="position:absolute;left:-15;top:638;width:4737;height:661;mso-wrap-style:square;" fillcolor="#AD002D" stroked="t" strokeweight="2.0pt">
                        <v:textbox id="866"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算表</w:t>
            </w:r>
          </w:p>
        </w:tc>
      </w:tr>
      <w:tr>
        <w:trPr>
          <w:trHeight w:val="362"/>
        </w:trPr>
        <w:tc>
          <w:tcPr>
            <w:tcW w:w="335"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7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45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275"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63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6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6"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394" w:type="dxa"/>
            <w:gridSpan w:val="3"/>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公开02表</w:t>
            </w:r>
          </w:p>
        </w:tc>
      </w:tr>
      <w:tr>
        <w:trPr>
          <w:trHeight w:val="362"/>
        </w:trPr>
        <w:tc>
          <w:tcPr>
            <w:tcW w:w="2885" w:type="dxa"/>
            <w:gridSpan w:val="5"/>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部门：唐山市丰南区文化馆</w:t>
            </w:r>
          </w:p>
        </w:tc>
        <w:tc>
          <w:tcPr>
            <w:tcW w:w="26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6"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1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394" w:type="dxa"/>
            <w:gridSpan w:val="3"/>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金额单位：</w:t>
            </w:r>
            <w:r>
              <w:rPr>
                <w:rFonts w:ascii="宋体" w:cs="宋体" w:hint="eastAsia"/>
                <w:color w:val="000000"/>
                <w:kern w:val="0"/>
                <w:szCs w:val="21"/>
                <w:lang w:eastAsia="zh-CN"/>
              </w:rPr>
              <w:t>万</w:t>
            </w:r>
            <w:r>
              <w:rPr>
                <w:rFonts w:ascii="宋体" w:cs="宋体" w:hint="eastAsia"/>
                <w:color w:val="000000"/>
                <w:kern w:val="0"/>
                <w:szCs w:val="21"/>
              </w:rPr>
              <w:t>元</w:t>
            </w:r>
          </w:p>
        </w:tc>
      </w:tr>
      <w:tr>
        <w:trPr>
          <w:trHeight w:val="325"/>
        </w:trPr>
        <w:tc>
          <w:tcPr>
            <w:tcW w:w="2246" w:type="dxa"/>
            <w:gridSpan w:val="4"/>
            <w:tcBorders>
              <w:top w:val="single" w:sz="4" w:space="0" w:color="000000"/>
              <w:left w:val="single" w:sz="4" w:space="0" w:color="000000"/>
              <w:bottom w:val="single" w:sz="4" w:space="0" w:color="000000"/>
              <w:right w:val="single" w:sz="4" w:space="0" w:color="auto"/>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项目</w:t>
            </w:r>
          </w:p>
        </w:tc>
        <w:tc>
          <w:tcPr>
            <w:tcW w:w="1134" w:type="dxa"/>
            <w:gridSpan w:val="3"/>
            <w:vMerge w:val="restart"/>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本年收入合计</w:t>
            </w:r>
          </w:p>
        </w:tc>
        <w:tc>
          <w:tcPr>
            <w:tcW w:w="1134" w:type="dxa"/>
            <w:gridSpan w:val="2"/>
            <w:vMerge w:val="restart"/>
            <w:tcBorders>
              <w:top w:val="single" w:sz="4" w:space="0" w:color="auto"/>
              <w:left w:val="nil"/>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财政拨款收入</w:t>
            </w:r>
          </w:p>
        </w:tc>
        <w:tc>
          <w:tcPr>
            <w:tcW w:w="851" w:type="dxa"/>
            <w:gridSpan w:val="2"/>
            <w:vMerge w:val="restart"/>
            <w:tcBorders>
              <w:top w:val="single" w:sz="4" w:space="0" w:color="auto"/>
              <w:left w:val="nil"/>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上级补助收入</w:t>
            </w:r>
          </w:p>
        </w:tc>
        <w:tc>
          <w:tcPr>
            <w:tcW w:w="850" w:type="dxa"/>
            <w:gridSpan w:val="2"/>
            <w:vMerge w:val="restart"/>
            <w:tcBorders>
              <w:top w:val="single" w:sz="4" w:space="0" w:color="auto"/>
              <w:left w:val="nil"/>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事业收入</w:t>
            </w:r>
          </w:p>
        </w:tc>
        <w:tc>
          <w:tcPr>
            <w:tcW w:w="993" w:type="dxa"/>
            <w:gridSpan w:val="2"/>
            <w:vMerge w:val="restart"/>
            <w:tcBorders>
              <w:top w:val="single" w:sz="4" w:space="0" w:color="auto"/>
              <w:left w:val="nil"/>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经营收入</w:t>
            </w:r>
          </w:p>
        </w:tc>
        <w:tc>
          <w:tcPr>
            <w:tcW w:w="850" w:type="dxa"/>
            <w:vMerge w:val="restart"/>
            <w:tcBorders>
              <w:top w:val="single" w:sz="4" w:space="0" w:color="auto"/>
              <w:left w:val="nil"/>
              <w:bottom w:val="single" w:sz="4" w:space="0" w:color="auto"/>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附属单位上缴收入</w:t>
            </w:r>
          </w:p>
        </w:tc>
        <w:tc>
          <w:tcPr>
            <w:tcW w:w="742" w:type="dxa"/>
            <w:vMerge w:val="restart"/>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kern w:val="0"/>
                <w:sz w:val="20"/>
                <w:szCs w:val="20"/>
              </w:rPr>
            </w:pPr>
            <w:r>
              <w:rPr>
                <w:rFonts w:ascii="宋体" w:cs="宋体" w:hint="eastAsia"/>
                <w:color w:val="000000"/>
                <w:kern w:val="0"/>
                <w:sz w:val="20"/>
                <w:szCs w:val="20"/>
              </w:rPr>
              <w:t>其他收入</w:t>
            </w:r>
          </w:p>
        </w:tc>
      </w:tr>
      <w:tr>
        <w:trPr>
          <w:trHeight w:val="626"/>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功能分类科目编码</w:t>
            </w:r>
          </w:p>
        </w:tc>
        <w:tc>
          <w:tcPr>
            <w:tcW w:w="1275" w:type="dxa"/>
            <w:tcBorders>
              <w:top w:val="nil"/>
              <w:left w:val="nil"/>
              <w:bottom w:val="single" w:sz="4" w:space="0" w:color="000000"/>
              <w:right w:val="single" w:sz="4" w:space="0" w:color="auto"/>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科目名称</w:t>
            </w:r>
          </w:p>
        </w:tc>
        <w:tc>
          <w:tcPr>
            <w:tcW w:w="1134" w:type="dxa"/>
            <w:gridSpan w:val="3"/>
            <w:vMerge/>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tc>
        <w:tc>
          <w:tcPr>
            <w:tcW w:w="1134" w:type="dxa"/>
            <w:gridSpan w:val="2"/>
            <w:vMerge/>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1" w:type="dxa"/>
            <w:gridSpan w:val="2"/>
            <w:vMerge/>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0" w:type="dxa"/>
            <w:gridSpan w:val="2"/>
            <w:vMerge/>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93" w:type="dxa"/>
            <w:gridSpan w:val="2"/>
            <w:vMerge/>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0" w:type="dxa"/>
            <w:vMerge/>
            <w:tcBorders>
              <w:top w:val="single" w:sz="4" w:space="0" w:color="auto"/>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42" w:type="dxa"/>
            <w:vMerge/>
            <w:tcBorders>
              <w:top w:val="single" w:sz="4" w:space="0" w:color="auto"/>
              <w:left w:val="nil"/>
              <w:bottom w:val="single" w:sz="4" w:space="0" w:color="000000"/>
              <w:right w:val="single" w:sz="4" w:space="0" w:color="auto"/>
            </w:tcBorders>
            <w:shd w:val="clear" w:color="auto" w:fill="auto"/>
            <w:noWrap/>
            <w:tcMar>
              <w:top w:w="15" w:type="dxa"/>
              <w:left w:w="15" w:type="dxa"/>
              <w:right w:w="15" w:type="dxa"/>
            </w:tcMar>
            <w:vAlign w:val="center"/>
          </w:tcPr>
          <w:p/>
        </w:tc>
      </w:tr>
      <w:tr>
        <w:trPr>
          <w:trHeight w:val="391"/>
        </w:trPr>
        <w:tc>
          <w:tcPr>
            <w:tcW w:w="2246"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栏次</w:t>
            </w:r>
          </w:p>
        </w:tc>
        <w:tc>
          <w:tcPr>
            <w:tcW w:w="113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6</w:t>
            </w:r>
          </w:p>
        </w:tc>
        <w:tc>
          <w:tcPr>
            <w:tcW w:w="74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7</w:t>
            </w:r>
          </w:p>
        </w:tc>
      </w:tr>
      <w:tr>
        <w:trPr>
          <w:trHeight w:val="90"/>
        </w:trPr>
        <w:tc>
          <w:tcPr>
            <w:tcW w:w="2246"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合计</w:t>
            </w:r>
          </w:p>
        </w:tc>
        <w:tc>
          <w:tcPr>
            <w:tcW w:w="1134"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r>
              <w:rPr>
                <w:rFonts w:ascii="宋体" w:cs="宋体" w:hint="eastAsia"/>
                <w:b/>
                <w:color w:val="000000"/>
                <w:sz w:val="18"/>
                <w:szCs w:val="18"/>
              </w:rPr>
              <w:t>433</w:t>
            </w:r>
            <w:r>
              <w:rPr>
                <w:rFonts w:ascii="宋体" w:cs="宋体" w:hint="eastAsia"/>
                <w:b/>
                <w:color w:val="000000"/>
                <w:sz w:val="18"/>
                <w:szCs w:val="18"/>
                <w:lang w:val="en-US" w:eastAsia="zh-CN"/>
              </w:rPr>
              <w:t>.</w:t>
            </w:r>
            <w:r>
              <w:rPr>
                <w:rFonts w:ascii="宋体" w:cs="宋体" w:hint="eastAsia"/>
                <w:b/>
                <w:color w:val="000000"/>
                <w:sz w:val="18"/>
                <w:szCs w:val="18"/>
              </w:rPr>
              <w:t>82</w:t>
            </w:r>
          </w:p>
        </w:tc>
        <w:tc>
          <w:tcPr>
            <w:tcW w:w="1134" w:type="dxa"/>
            <w:gridSpan w:val="2"/>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r>
              <w:rPr>
                <w:rFonts w:ascii="宋体" w:cs="宋体" w:hint="eastAsia"/>
                <w:b/>
                <w:color w:val="000000"/>
                <w:sz w:val="18"/>
                <w:szCs w:val="18"/>
              </w:rPr>
              <w:t>433</w:t>
            </w:r>
            <w:r>
              <w:rPr>
                <w:rFonts w:ascii="宋体" w:cs="宋体" w:hint="eastAsia"/>
                <w:b/>
                <w:color w:val="000000"/>
                <w:sz w:val="18"/>
                <w:szCs w:val="18"/>
                <w:lang w:val="en-US" w:eastAsia="zh-CN"/>
              </w:rPr>
              <w:t>.</w:t>
            </w:r>
            <w:r>
              <w:rPr>
                <w:rFonts w:ascii="宋体" w:cs="宋体" w:hint="eastAsia"/>
                <w:b/>
                <w:color w:val="000000"/>
                <w:sz w:val="18"/>
                <w:szCs w:val="18"/>
              </w:rPr>
              <w:t>82</w:t>
            </w:r>
          </w:p>
        </w:tc>
        <w:tc>
          <w:tcPr>
            <w:tcW w:w="851" w:type="dxa"/>
            <w:gridSpan w:val="2"/>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p>
        </w:tc>
        <w:tc>
          <w:tcPr>
            <w:tcW w:w="850" w:type="dxa"/>
            <w:gridSpan w:val="2"/>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p>
        </w:tc>
        <w:tc>
          <w:tcPr>
            <w:tcW w:w="993" w:type="dxa"/>
            <w:gridSpan w:val="2"/>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p>
        </w:tc>
        <w:tc>
          <w:tcPr>
            <w:tcW w:w="850" w:type="dxa"/>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p>
        </w:tc>
        <w:tc>
          <w:tcPr>
            <w:tcW w:w="742" w:type="dxa"/>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 w:val="18"/>
                <w:szCs w:val="18"/>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文化体育与传媒支出</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433</w:t>
            </w:r>
            <w:r>
              <w:rPr>
                <w:rFonts w:ascii="宋体" w:cs="宋体" w:hint="eastAsia"/>
                <w:color w:val="000000"/>
                <w:szCs w:val="21"/>
                <w:lang w:val="en-US" w:eastAsia="zh-CN"/>
              </w:rPr>
              <w:t>.</w:t>
            </w:r>
            <w:r>
              <w:rPr>
                <w:rFonts w:ascii="宋体" w:cs="宋体" w:hint="eastAsia"/>
                <w:color w:val="000000"/>
                <w:szCs w:val="21"/>
              </w:rPr>
              <w:t>82</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433</w:t>
            </w:r>
            <w:r>
              <w:rPr>
                <w:rFonts w:ascii="宋体" w:cs="宋体" w:hint="eastAsia"/>
                <w:color w:val="000000"/>
                <w:szCs w:val="21"/>
                <w:lang w:val="en-US" w:eastAsia="zh-CN"/>
              </w:rPr>
              <w:t>.</w:t>
            </w:r>
            <w:r>
              <w:rPr>
                <w:rFonts w:ascii="宋体" w:cs="宋体" w:hint="eastAsia"/>
                <w:color w:val="000000"/>
                <w:szCs w:val="21"/>
              </w:rPr>
              <w:t>82</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82</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82</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2070105</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文化展示及纪念机构</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Cs w:val="21"/>
                <w:lang w:eastAsia="zh-CN"/>
              </w:rPr>
            </w:pPr>
            <w:r>
              <w:rPr>
                <w:rFonts w:ascii="宋体" w:cs="宋体" w:hint="eastAsia"/>
                <w:color w:val="000000"/>
                <w:szCs w:val="21"/>
                <w:lang w:val="en-US" w:eastAsia="zh-CN"/>
              </w:rPr>
              <w:t>0.02</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lang w:val="en-US" w:eastAsia="zh-CN"/>
              </w:rPr>
              <w:t>0.02</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2070109</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群众文化</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w:t>
            </w:r>
            <w:r>
              <w:rPr>
                <w:rFonts w:ascii="宋体" w:cs="宋体" w:hint="eastAsia"/>
                <w:color w:val="000000"/>
                <w:szCs w:val="21"/>
                <w:lang w:val="en-US" w:eastAsia="zh-CN"/>
              </w:rPr>
              <w:t>1</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Cs w:val="21"/>
                <w:lang w:eastAsia="zh-CN"/>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w:t>
            </w:r>
            <w:r>
              <w:rPr>
                <w:rFonts w:ascii="宋体" w:cs="宋体" w:hint="eastAsia"/>
                <w:color w:val="000000"/>
                <w:szCs w:val="21"/>
                <w:lang w:val="en-US" w:eastAsia="zh-CN"/>
              </w:rPr>
              <w:t>1</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2079999</w:t>
            </w: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71"/>
        </w:trPr>
        <w:tc>
          <w:tcPr>
            <w:tcW w:w="971"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27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134"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1"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85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74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81"/>
        </w:trPr>
        <w:tc>
          <w:tcPr>
            <w:tcW w:w="8800" w:type="dxa"/>
            <w:gridSpan w:val="1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注：本表反映部门本年度取得的各项收入情况。</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90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290"/>
        <w:gridCol w:w="289"/>
        <w:gridCol w:w="429"/>
        <w:gridCol w:w="374"/>
        <w:gridCol w:w="901"/>
        <w:gridCol w:w="216"/>
        <w:gridCol w:w="647"/>
        <w:gridCol w:w="413"/>
        <w:gridCol w:w="705"/>
        <w:gridCol w:w="571"/>
        <w:gridCol w:w="549"/>
        <w:gridCol w:w="585"/>
        <w:gridCol w:w="533"/>
        <w:gridCol w:w="459"/>
        <w:gridCol w:w="661"/>
        <w:gridCol w:w="331"/>
        <w:gridCol w:w="1047"/>
      </w:tblGrid>
      <w:tr>
        <w:trPr>
          <w:trHeight w:val="798"/>
        </w:trPr>
        <w:tc>
          <w:tcPr>
            <w:tcW w:w="9000" w:type="dxa"/>
            <w:gridSpan w:val="1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center"/>
              <w:rPr>
                <w:rFonts w:ascii="黑体" w:eastAsia="黑体" w:cs="黑体"/>
                <w:color w:val="000000"/>
                <w:sz w:val="40"/>
                <w:szCs w:val="40"/>
              </w:rPr>
            </w:pPr>
            <w:r>
              <w:rPr>
                <w:rFonts w:ascii="黑体" w:eastAsia="黑体" w:cs="黑体" w:hint="eastAsia"/>
                <w:color w:val="000000"/>
                <w:kern w:val="0"/>
                <w:sz w:val="40"/>
                <w:szCs w:val="40"/>
              </w:rPr>
              <w:t>支出决算</w:t>
            </w:r>
            <w:r>
              <w:rPr>
                <w:sz w:val="44"/>
              </w:rPr>
              <mc:AlternateContent>
                <mc:Choice Requires="wps">
                  <w:drawing>
                    <wp:anchor distT="0" distB="0" distL="91438" distR="91438" simplePos="0" relativeHeight="91"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58" name="组合"/>
                      <wp:cNvGraphicFramePr>
                        <a:graphicFrameLocks noChangeAspect="0"/>
                      </wp:cNvGraphicFramePr>
                      <a:graphic>
                        <a:graphicData uri="http://schemas.microsoft.com/office/word/2010/wordprocessingGroup">
                          <wpg:wgp>
                            <wpg:cNvPr id="59" name="组合 59"/>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60" name="_s64 60"/>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61" name="_s65 61"/>
                              <wps:cNvSpPr/>
                              <wps:spPr>
                                <a:xfrm rot="0">
                                  <a:off x="8891" y="103505"/>
                                  <a:ext cx="3008613" cy="419736"/>
                                </a:xfrm>
                                <a:prstGeom prst="rect"/>
                                <a:solidFill>
                                  <a:srgbClr val="AD002D"/>
                                </a:solidFill>
                                <a:ln w="25400" cmpd="sng" cap="flat">
                                  <a:solidFill>
                                    <a:srgbClr val="AF7621"/>
                                  </a:solidFill>
                                  <a:prstDash val="solid"/>
                                  <a:miter/>
                                </a:ln>
                              </wps:spPr>
                              <wps:txbx id="62">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63" o:spid="_x0000_s63" coordorigin="-29,475" coordsize="4863,824" style="position:absolute;margin-left:-80.899994pt;margin-top:-81.10013pt;width:243.19995pt;height:41.200157pt;z-index:91;mso-position-horizontal:absolute;mso-position-vertical:absolute;mso-position-vertical-relative:page;mso-wrap-distance-left:7.19989pt;mso-wrap-distance-right:7.19989pt;">
                      <v:rect type="#_x0000_t1" id="_s64" o:spid="_x0000_s64" style="position:absolute;left:-29;top:475;width:4863;height:692;" fillcolor="#D8D8D8" stroked="f">
                        <v:stroke color="#000000"/>
                      </v:rect>
                      <v:rect type="#_x0000_t1" id="_s65" o:spid="_x0000_s65" style="position:absolute;left:-15;top:638;width:4737;height:661;mso-wrap-style:square;" fillcolor="#AD002D" stroked="t" strokeweight="2.0pt">
                        <v:textbox id="867"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表</w:t>
            </w:r>
          </w:p>
        </w:tc>
      </w:tr>
      <w:tr>
        <w:trPr>
          <w:trHeight w:val="404"/>
        </w:trPr>
        <w:tc>
          <w:tcPr>
            <w:tcW w:w="29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8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803"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17"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64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1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20"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1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20"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37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公开03表</w:t>
            </w:r>
          </w:p>
        </w:tc>
      </w:tr>
      <w:tr>
        <w:trPr>
          <w:trHeight w:val="380"/>
        </w:trPr>
        <w:tc>
          <w:tcPr>
            <w:tcW w:w="3146" w:type="dxa"/>
            <w:gridSpan w:val="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部门：唐山市丰南区文化馆</w:t>
            </w:r>
          </w:p>
        </w:tc>
        <w:tc>
          <w:tcPr>
            <w:tcW w:w="111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20"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11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498" w:type="dxa"/>
            <w:gridSpan w:val="4"/>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金额单位：</w:t>
            </w:r>
            <w:r>
              <w:rPr>
                <w:rFonts w:ascii="宋体" w:cs="宋体" w:hint="eastAsia"/>
                <w:color w:val="000000"/>
                <w:kern w:val="0"/>
                <w:szCs w:val="21"/>
                <w:lang w:eastAsia="zh-CN"/>
              </w:rPr>
              <w:t>万</w:t>
            </w:r>
            <w:r>
              <w:rPr>
                <w:rFonts w:ascii="宋体" w:cs="宋体" w:hint="eastAsia"/>
                <w:color w:val="000000"/>
                <w:kern w:val="0"/>
                <w:szCs w:val="21"/>
              </w:rPr>
              <w:t>元</w:t>
            </w:r>
          </w:p>
        </w:tc>
      </w:tr>
      <w:tr>
        <w:trPr>
          <w:trHeight w:val="837"/>
        </w:trPr>
        <w:tc>
          <w:tcPr>
            <w:tcW w:w="2283"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项目</w:t>
            </w:r>
          </w:p>
        </w:tc>
        <w:tc>
          <w:tcPr>
            <w:tcW w:w="1276" w:type="dxa"/>
            <w:gridSpan w:val="3"/>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本年支出合计</w:t>
            </w:r>
          </w:p>
        </w:tc>
        <w:tc>
          <w:tcPr>
            <w:tcW w:w="1276" w:type="dxa"/>
            <w:gridSpan w:val="2"/>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基本支出</w:t>
            </w:r>
          </w:p>
        </w:tc>
        <w:tc>
          <w:tcPr>
            <w:tcW w:w="1134" w:type="dxa"/>
            <w:gridSpan w:val="2"/>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项目支出</w:t>
            </w:r>
          </w:p>
        </w:tc>
        <w:tc>
          <w:tcPr>
            <w:tcW w:w="992" w:type="dxa"/>
            <w:gridSpan w:val="2"/>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上缴上级支出</w:t>
            </w:r>
          </w:p>
        </w:tc>
        <w:tc>
          <w:tcPr>
            <w:tcW w:w="992" w:type="dxa"/>
            <w:gridSpan w:val="2"/>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经营支出</w:t>
            </w:r>
          </w:p>
        </w:tc>
        <w:tc>
          <w:tcPr>
            <w:tcW w:w="1047" w:type="dxa"/>
            <w:vMerge w:val="restart"/>
            <w:tcBorders>
              <w:top w:val="single" w:sz="4" w:space="0" w:color="000000"/>
              <w:left w:val="nil"/>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对附属单位补助支出</w:t>
            </w:r>
          </w:p>
        </w:tc>
      </w:tr>
      <w:tr>
        <w:trPr>
          <w:trHeight w:val="782"/>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功能分类科目编码</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科目名称</w:t>
            </w:r>
          </w:p>
        </w:tc>
        <w:tc>
          <w:tcPr>
            <w:tcW w:w="1276" w:type="dxa"/>
            <w:gridSpan w:val="3"/>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76" w:type="dxa"/>
            <w:gridSpan w:val="2"/>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34" w:type="dxa"/>
            <w:gridSpan w:val="2"/>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92" w:type="dxa"/>
            <w:gridSpan w:val="2"/>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992" w:type="dxa"/>
            <w:gridSpan w:val="2"/>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047" w:type="dxa"/>
            <w:vMerge/>
            <w:tcBorders>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95"/>
        </w:trPr>
        <w:tc>
          <w:tcPr>
            <w:tcW w:w="2283" w:type="dxa"/>
            <w:gridSpan w:val="5"/>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栏次</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1</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2</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3</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5</w:t>
            </w: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6</w:t>
            </w:r>
          </w:p>
        </w:tc>
      </w:tr>
      <w:tr>
        <w:trPr>
          <w:trHeight w:val="440"/>
        </w:trPr>
        <w:tc>
          <w:tcPr>
            <w:tcW w:w="2283" w:type="dxa"/>
            <w:gridSpan w:val="5"/>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合计</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r>
              <w:rPr>
                <w:rFonts w:ascii="宋体" w:cs="宋体" w:hint="eastAsia"/>
                <w:b/>
                <w:color w:val="000000"/>
                <w:szCs w:val="21"/>
              </w:rPr>
              <w:t>433</w:t>
            </w:r>
            <w:r>
              <w:rPr>
                <w:rFonts w:ascii="宋体" w:cs="宋体" w:hint="eastAsia"/>
                <w:b/>
                <w:color w:val="000000"/>
                <w:szCs w:val="21"/>
                <w:lang w:val="en-US" w:eastAsia="zh-CN"/>
              </w:rPr>
              <w:t>.</w:t>
            </w:r>
            <w:r>
              <w:rPr>
                <w:rFonts w:ascii="宋体" w:cs="宋体" w:hint="eastAsia"/>
                <w:b/>
                <w:color w:val="000000"/>
                <w:szCs w:val="21"/>
              </w:rPr>
              <w:t>84</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b/>
                <w:color w:val="000000"/>
                <w:szCs w:val="21"/>
                <w:lang w:val="en-US" w:eastAsia="zh-CN"/>
              </w:rPr>
            </w:pPr>
            <w:r>
              <w:rPr>
                <w:rFonts w:ascii="宋体" w:cs="宋体" w:hint="eastAsia"/>
                <w:b/>
                <w:color w:val="000000"/>
                <w:szCs w:val="21"/>
              </w:rPr>
              <w:t>381</w:t>
            </w:r>
            <w:r>
              <w:rPr>
                <w:rFonts w:ascii="宋体" w:cs="宋体" w:hint="eastAsia"/>
                <w:b/>
                <w:color w:val="000000"/>
                <w:szCs w:val="21"/>
                <w:lang w:val="en-US" w:eastAsia="zh-CN"/>
              </w:rPr>
              <w:t>.80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r>
              <w:rPr>
                <w:rFonts w:ascii="宋体" w:cs="宋体" w:hint="eastAsia"/>
                <w:b/>
                <w:color w:val="000000"/>
                <w:szCs w:val="21"/>
              </w:rPr>
              <w:t>52</w:t>
            </w:r>
            <w:r>
              <w:rPr>
                <w:rFonts w:ascii="宋体" w:cs="宋体" w:hint="eastAsia"/>
                <w:b/>
                <w:color w:val="000000"/>
                <w:szCs w:val="21"/>
                <w:lang w:val="en-US" w:eastAsia="zh-CN"/>
              </w:rPr>
              <w:t>.</w:t>
            </w:r>
            <w:r>
              <w:rPr>
                <w:rFonts w:ascii="宋体" w:cs="宋体" w:hint="eastAsia"/>
                <w:b/>
                <w:color w:val="000000"/>
                <w:szCs w:val="21"/>
              </w:rPr>
              <w:t>04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文化体育与传媒支出</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433</w:t>
            </w:r>
            <w:r>
              <w:rPr>
                <w:rFonts w:ascii="宋体" w:cs="宋体" w:hint="eastAsia"/>
                <w:color w:val="000000"/>
                <w:szCs w:val="21"/>
                <w:lang w:val="en-US" w:eastAsia="zh-CN"/>
              </w:rPr>
              <w:t>.</w:t>
            </w:r>
            <w:r>
              <w:rPr>
                <w:rFonts w:ascii="宋体" w:cs="宋体" w:hint="eastAsia"/>
                <w:color w:val="000000"/>
                <w:szCs w:val="21"/>
              </w:rPr>
              <w:t>84</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Cs w:val="21"/>
                <w:lang w:eastAsia="zh-CN"/>
              </w:rPr>
            </w:pPr>
            <w:r>
              <w:rPr>
                <w:rFonts w:ascii="宋体" w:cs="宋体" w:hint="eastAsia"/>
                <w:color w:val="000000"/>
                <w:szCs w:val="21"/>
              </w:rPr>
              <w:t>381</w:t>
            </w:r>
            <w:r>
              <w:rPr>
                <w:rFonts w:ascii="宋体" w:cs="宋体" w:hint="eastAsia"/>
                <w:color w:val="000000"/>
                <w:szCs w:val="21"/>
                <w:lang w:val="en-US" w:eastAsia="zh-CN"/>
              </w:rPr>
              <w:t>.80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52</w:t>
            </w:r>
            <w:r>
              <w:rPr>
                <w:rFonts w:ascii="宋体" w:cs="宋体" w:hint="eastAsia"/>
                <w:color w:val="000000"/>
                <w:szCs w:val="21"/>
                <w:lang w:val="en-US" w:eastAsia="zh-CN"/>
              </w:rPr>
              <w:t>.</w:t>
            </w:r>
            <w:r>
              <w:rPr>
                <w:rFonts w:ascii="宋体" w:cs="宋体" w:hint="eastAsia"/>
                <w:color w:val="000000"/>
                <w:szCs w:val="21"/>
              </w:rPr>
              <w:t>04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84</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381</w:t>
            </w:r>
            <w:r>
              <w:rPr>
                <w:rFonts w:ascii="宋体" w:cs="宋体" w:hint="eastAsia"/>
                <w:color w:val="000000"/>
                <w:szCs w:val="21"/>
                <w:lang w:val="en-US" w:eastAsia="zh-CN"/>
              </w:rPr>
              <w:t>.80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w:t>
            </w:r>
            <w:r>
              <w:rPr>
                <w:rFonts w:ascii="宋体" w:cs="宋体" w:hint="eastAsia"/>
                <w:color w:val="000000"/>
                <w:szCs w:val="21"/>
                <w:lang w:val="en-US" w:eastAsia="zh-CN"/>
              </w:rPr>
              <w:t>.</w:t>
            </w:r>
            <w:r>
              <w:rPr>
                <w:rFonts w:ascii="宋体" w:cs="宋体" w:hint="eastAsia"/>
                <w:color w:val="000000"/>
                <w:szCs w:val="21"/>
              </w:rPr>
              <w:t>04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2070105</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文化展示及纪念机构</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lang w:val="en-US" w:eastAsia="zh-CN"/>
              </w:rPr>
              <w:t>0.02</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lang w:val="en-US" w:eastAsia="zh-CN"/>
              </w:rPr>
              <w:t>0.02</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2070109</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群众文化</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82</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381</w:t>
            </w:r>
            <w:r>
              <w:rPr>
                <w:rFonts w:ascii="宋体" w:cs="宋体" w:hint="eastAsia"/>
                <w:color w:val="000000"/>
                <w:szCs w:val="21"/>
                <w:lang w:val="en-US" w:eastAsia="zh-CN"/>
              </w:rPr>
              <w:t>.80</w:t>
            </w: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w:t>
            </w:r>
            <w:r>
              <w:rPr>
                <w:rFonts w:ascii="宋体" w:cs="宋体" w:hint="eastAsia"/>
                <w:color w:val="000000"/>
                <w:szCs w:val="21"/>
                <w:lang w:val="en-US" w:eastAsia="zh-CN"/>
              </w:rPr>
              <w:t>.</w:t>
            </w:r>
            <w:r>
              <w:rPr>
                <w:rFonts w:ascii="宋体" w:cs="宋体" w:hint="eastAsia"/>
                <w:color w:val="000000"/>
                <w:szCs w:val="21"/>
              </w:rPr>
              <w:t>04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468"/>
        </w:trPr>
        <w:tc>
          <w:tcPr>
            <w:tcW w:w="1008"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2079999</w:t>
            </w:r>
          </w:p>
        </w:tc>
        <w:tc>
          <w:tcPr>
            <w:tcW w:w="127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276" w:type="dxa"/>
            <w:gridSpan w:val="3"/>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276"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134"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04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748"/>
        </w:trPr>
        <w:tc>
          <w:tcPr>
            <w:tcW w:w="9000" w:type="dxa"/>
            <w:gridSpan w:val="1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注：本表反映部门本年度各项支出情况。</w:t>
            </w:r>
          </w:p>
        </w:tc>
      </w:tr>
    </w:tbl>
    <w:p>
      <w:pPr>
        <w:widowControl/>
        <w:spacing w:after="0" w:line="560" w:lineRule="exact"/>
        <w:ind w:firstLineChars="200" w:firstLine="560"/>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894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717"/>
        <w:gridCol w:w="745"/>
        <w:gridCol w:w="325"/>
        <w:gridCol w:w="1056"/>
        <w:gridCol w:w="1918"/>
        <w:gridCol w:w="191"/>
        <w:gridCol w:w="360"/>
        <w:gridCol w:w="650"/>
        <w:gridCol w:w="283"/>
        <w:gridCol w:w="542"/>
        <w:gridCol w:w="450"/>
        <w:gridCol w:w="703"/>
      </w:tblGrid>
      <w:tr>
        <w:trPr>
          <w:trHeight w:val="152"/>
        </w:trPr>
        <w:tc>
          <w:tcPr>
            <w:tcW w:w="8940" w:type="dxa"/>
            <w:gridSpan w:val="1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黑体" w:eastAsia="黑体" w:cs="黑体"/>
                <w:color w:val="000000"/>
                <w:sz w:val="40"/>
                <w:szCs w:val="40"/>
              </w:rPr>
            </w:pPr>
            <w:r>
              <w:rPr>
                <w:rFonts w:ascii="黑体" w:eastAsia="黑体" w:cs="黑体" w:hint="eastAsia"/>
                <w:color w:val="000000"/>
                <w:kern w:val="0"/>
                <w:sz w:val="40"/>
                <w:szCs w:val="40"/>
              </w:rPr>
              <w:t>财政拨款收入支出决</w:t>
            </w:r>
            <w:r>
              <w:rPr>
                <w:sz w:val="44"/>
              </w:rPr>
              <mc:AlternateContent>
                <mc:Choice Requires="wps">
                  <w:drawing>
                    <wp:anchor distT="0" distB="0" distL="91438" distR="91438" simplePos="0" relativeHeight="93"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66" name="组合"/>
                      <wp:cNvGraphicFramePr>
                        <a:graphicFrameLocks noChangeAspect="0"/>
                      </wp:cNvGraphicFramePr>
                      <a:graphic>
                        <a:graphicData uri="http://schemas.microsoft.com/office/word/2010/wordprocessingGroup">
                          <wpg:wgp>
                            <wpg:cNvPr id="67" name="组合 67"/>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68" name="_s72 68"/>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69" name="_s73 69"/>
                              <wps:cNvSpPr/>
                              <wps:spPr>
                                <a:xfrm rot="0">
                                  <a:off x="8891" y="103505"/>
                                  <a:ext cx="3008613" cy="419736"/>
                                </a:xfrm>
                                <a:prstGeom prst="rect"/>
                                <a:solidFill>
                                  <a:srgbClr val="AD002D"/>
                                </a:solidFill>
                                <a:ln w="25400" cmpd="sng" cap="flat">
                                  <a:solidFill>
                                    <a:srgbClr val="AF7621"/>
                                  </a:solidFill>
                                  <a:prstDash val="solid"/>
                                  <a:miter/>
                                </a:ln>
                              </wps:spPr>
                              <wps:txbx id="70">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71" o:spid="_x0000_s71" coordorigin="-29,475" coordsize="4863,824" style="position:absolute;margin-left:-80.899994pt;margin-top:-81.10013pt;width:243.19995pt;height:41.200157pt;z-index:93;mso-position-horizontal:absolute;mso-position-vertical:absolute;mso-position-vertical-relative:page;mso-wrap-distance-left:7.19989pt;mso-wrap-distance-right:7.19989pt;">
                      <v:rect type="#_x0000_t1" id="_s72" o:spid="_x0000_s72" style="position:absolute;left:-29;top:475;width:4863;height:692;" fillcolor="#D8D8D8" stroked="f">
                        <v:stroke color="#000000"/>
                      </v:rect>
                      <v:rect type="#_x0000_t1" id="_s73" o:spid="_x0000_s73" style="position:absolute;left:-15;top:638;width:4737;height:661;mso-wrap-style:square;" fillcolor="#AD002D" stroked="t" strokeweight="2.0pt">
                        <v:textbox id="868"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算总表</w:t>
            </w:r>
          </w:p>
        </w:tc>
      </w:tr>
      <w:tr>
        <w:trPr>
          <w:trHeight w:val="90"/>
        </w:trPr>
        <w:tc>
          <w:tcPr>
            <w:tcW w:w="171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745"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325"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2974"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551"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65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82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1153"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 w:val="20"/>
                <w:szCs w:val="20"/>
              </w:rPr>
            </w:pPr>
            <w:r>
              <w:rPr>
                <w:rFonts w:ascii="宋体" w:cs="宋体" w:hint="eastAsia"/>
                <w:color w:val="000000"/>
                <w:kern w:val="0"/>
                <w:sz w:val="20"/>
                <w:szCs w:val="20"/>
              </w:rPr>
              <w:t>公开04表</w:t>
            </w:r>
          </w:p>
        </w:tc>
      </w:tr>
      <w:tr>
        <w:trPr>
          <w:trHeight w:val="152"/>
        </w:trPr>
        <w:tc>
          <w:tcPr>
            <w:tcW w:w="6312" w:type="dxa"/>
            <w:gridSpan w:val="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20"/>
                <w:szCs w:val="20"/>
              </w:rPr>
            </w:pPr>
            <w:r>
              <w:rPr>
                <w:rFonts w:ascii="宋体" w:cs="宋体" w:hint="eastAsia"/>
                <w:color w:val="000000"/>
                <w:kern w:val="0"/>
                <w:sz w:val="20"/>
                <w:szCs w:val="20"/>
              </w:rPr>
              <w:t>部门：唐山市丰南区文化馆</w:t>
            </w:r>
          </w:p>
        </w:tc>
        <w:tc>
          <w:tcPr>
            <w:tcW w:w="65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 w:val="20"/>
                <w:szCs w:val="20"/>
              </w:rPr>
            </w:pPr>
          </w:p>
        </w:tc>
        <w:tc>
          <w:tcPr>
            <w:tcW w:w="1978" w:type="dxa"/>
            <w:gridSpan w:val="4"/>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 w:val="20"/>
                <w:szCs w:val="20"/>
              </w:rPr>
            </w:pPr>
            <w:r>
              <w:rPr>
                <w:rFonts w:ascii="宋体" w:cs="宋体" w:hint="eastAsia"/>
                <w:color w:val="000000"/>
                <w:kern w:val="0"/>
                <w:sz w:val="20"/>
                <w:szCs w:val="20"/>
              </w:rPr>
              <w:t>金额单位：</w:t>
            </w:r>
            <w:r>
              <w:rPr>
                <w:rFonts w:ascii="宋体" w:cs="宋体" w:hint="eastAsia"/>
                <w:color w:val="000000"/>
                <w:kern w:val="0"/>
                <w:sz w:val="20"/>
                <w:szCs w:val="20"/>
                <w:lang w:eastAsia="zh-CN"/>
              </w:rPr>
              <w:t>万</w:t>
            </w:r>
            <w:r>
              <w:rPr>
                <w:rFonts w:ascii="宋体" w:cs="宋体" w:hint="eastAsia"/>
                <w:color w:val="000000"/>
                <w:kern w:val="0"/>
                <w:sz w:val="20"/>
                <w:szCs w:val="20"/>
              </w:rPr>
              <w:t>元</w:t>
            </w:r>
          </w:p>
        </w:tc>
      </w:tr>
      <w:tr>
        <w:trPr>
          <w:trHeight w:val="90"/>
        </w:trPr>
        <w:tc>
          <w:tcPr>
            <w:tcW w:w="2787"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收     入</w:t>
            </w:r>
          </w:p>
        </w:tc>
        <w:tc>
          <w:tcPr>
            <w:tcW w:w="6153" w:type="dxa"/>
            <w:gridSpan w:val="9"/>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20"/>
                <w:szCs w:val="20"/>
              </w:rPr>
            </w:pPr>
            <w:r>
              <w:rPr>
                <w:rFonts w:ascii="宋体" w:cs="宋体" w:hint="eastAsia"/>
                <w:color w:val="000000"/>
                <w:kern w:val="0"/>
                <w:sz w:val="20"/>
                <w:szCs w:val="20"/>
              </w:rPr>
              <w:t>支     出</w:t>
            </w:r>
          </w:p>
        </w:tc>
      </w:tr>
      <w:tr>
        <w:trPr>
          <w:trHeight w:val="17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项目</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行次</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金额</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项目</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行次</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合计</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一般公共预算财政拨款</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政府性基金预算财政拨款</w:t>
            </w: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栏次</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rPr>
                <w:rFonts w:ascii="宋体" w:cs="宋体"/>
                <w:color w:val="000000"/>
                <w:sz w:val="18"/>
                <w:szCs w:val="18"/>
              </w:rPr>
            </w:pP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栏次</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rPr>
                <w:rFonts w:ascii="宋体" w:cs="宋体"/>
                <w:color w:val="000000"/>
                <w:sz w:val="18"/>
                <w:szCs w:val="18"/>
              </w:rPr>
            </w:pP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w:t>
            </w:r>
          </w:p>
        </w:tc>
      </w:tr>
      <w:tr>
        <w:trPr>
          <w:trHeight w:val="12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一、一般公共预算财政拨款</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82</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一、一般公共服务支出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29</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12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二、政府性基金预算财政拨款</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二、外交支出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30</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三、国防支出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31</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四、公共安全支出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32</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五、教育支出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33</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6</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六、科学技术支出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34</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7</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七、文化体育与传媒支出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35</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84</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8</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八、社会保障和就业支出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36</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9</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6"/>
                <w:szCs w:val="16"/>
              </w:rPr>
              <w:t>九、医疗卫生与计划生育支出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37</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10</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十、节能环保支出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38</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11</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十一、城乡社区支出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39</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12</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十二、农林水支出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40</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13</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十三、交通运输支出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41</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14</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十四、资源勘探信息等支出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42</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15</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十五、商业服务业等支出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43</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16</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十六、金融支出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44</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17</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十七、援助其他地区支出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45</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18</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十八、国土海洋气象等支出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46</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19</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十九、住房保障支出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47</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20</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二十、粮油物资储备支出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48</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21</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二十一、其他支出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49</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22</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二十二、债务还本支出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50</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23</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二十三、债务付息支出</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51</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b/>
                <w:color w:val="000000"/>
                <w:sz w:val="18"/>
                <w:szCs w:val="18"/>
              </w:rPr>
            </w:pPr>
            <w:r>
              <w:rPr>
                <w:rFonts w:ascii="宋体" w:cs="宋体" w:hint="eastAsia"/>
                <w:b/>
                <w:color w:val="000000"/>
                <w:kern w:val="0"/>
                <w:sz w:val="18"/>
                <w:szCs w:val="18"/>
              </w:rPr>
              <w:t>本年收入合计</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24</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82</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b/>
                <w:color w:val="000000"/>
                <w:sz w:val="18"/>
                <w:szCs w:val="18"/>
              </w:rPr>
            </w:pPr>
            <w:r>
              <w:rPr>
                <w:rFonts w:ascii="宋体" w:cs="宋体" w:hint="eastAsia"/>
                <w:b/>
                <w:color w:val="000000"/>
                <w:kern w:val="0"/>
                <w:sz w:val="18"/>
                <w:szCs w:val="18"/>
              </w:rPr>
              <w:t>本年支出合计</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52</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84</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 w:val="18"/>
                <w:szCs w:val="18"/>
                <w:lang w:eastAsia="zh-CN"/>
              </w:rPr>
            </w:pPr>
            <w:r>
              <w:rPr>
                <w:rFonts w:ascii="宋体" w:cs="宋体" w:hint="eastAsia"/>
                <w:color w:val="000000"/>
                <w:sz w:val="18"/>
                <w:szCs w:val="18"/>
              </w:rPr>
              <w:t>433</w:t>
            </w:r>
            <w:r>
              <w:rPr>
                <w:rFonts w:ascii="宋体" w:cs="宋体" w:hint="eastAsia"/>
                <w:color w:val="000000"/>
                <w:sz w:val="18"/>
                <w:szCs w:val="18"/>
                <w:lang w:val="en-US" w:eastAsia="zh-CN"/>
              </w:rPr>
              <w:t>.</w:t>
            </w:r>
            <w:r>
              <w:rPr>
                <w:rFonts w:ascii="宋体" w:cs="宋体" w:hint="eastAsia"/>
                <w:color w:val="000000"/>
                <w:sz w:val="18"/>
                <w:szCs w:val="18"/>
              </w:rPr>
              <w:t>8</w:t>
            </w:r>
            <w:r>
              <w:rPr>
                <w:rFonts w:ascii="宋体" w:cs="宋体" w:hint="eastAsia"/>
                <w:color w:val="000000"/>
                <w:sz w:val="18"/>
                <w:szCs w:val="18"/>
                <w:lang w:val="en-US" w:eastAsia="zh-CN"/>
              </w:rPr>
              <w:t>4</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12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年初财政拨款结转和结余</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25</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lang w:val="en-US" w:eastAsia="zh-CN"/>
              </w:rPr>
              <w:t>0.</w:t>
            </w:r>
            <w:r>
              <w:rPr>
                <w:rFonts w:ascii="宋体" w:cs="宋体" w:hint="eastAsia"/>
                <w:color w:val="000000"/>
                <w:sz w:val="18"/>
                <w:szCs w:val="18"/>
              </w:rPr>
              <w:t>87</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年末财政拨款结转和结余</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53</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lang w:val="en-US" w:eastAsia="zh-CN"/>
              </w:rPr>
              <w:t>0.</w:t>
            </w:r>
            <w:r>
              <w:rPr>
                <w:rFonts w:ascii="宋体" w:cs="宋体" w:hint="eastAsia"/>
                <w:color w:val="000000"/>
                <w:sz w:val="18"/>
                <w:szCs w:val="18"/>
              </w:rPr>
              <w:t>85</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 w:val="18"/>
                <w:szCs w:val="18"/>
                <w:lang w:val="en-US" w:eastAsia="zh-CN"/>
              </w:rPr>
            </w:pPr>
            <w:r>
              <w:rPr>
                <w:rFonts w:ascii="宋体" w:cs="宋体" w:hint="eastAsia"/>
                <w:color w:val="000000"/>
                <w:sz w:val="18"/>
                <w:szCs w:val="18"/>
                <w:lang w:val="en-US" w:eastAsia="zh-CN"/>
              </w:rPr>
              <w:t>0.85</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12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 xml:space="preserve">  一般公共预算财政拨款</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26</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lang w:val="en-US" w:eastAsia="zh-CN"/>
              </w:rPr>
              <w:t>0.</w:t>
            </w:r>
            <w:r>
              <w:rPr>
                <w:rFonts w:ascii="宋体" w:cs="宋体" w:hint="eastAsia"/>
                <w:color w:val="000000"/>
                <w:sz w:val="18"/>
                <w:szCs w:val="18"/>
              </w:rPr>
              <w:t>87</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54</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12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 xml:space="preserve">  政府性基金预算财政拨款</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27</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 w:val="18"/>
                <w:szCs w:val="18"/>
              </w:rPr>
            </w:pP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55</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90"/>
        </w:trPr>
        <w:tc>
          <w:tcPr>
            <w:tcW w:w="2462"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b/>
                <w:color w:val="000000"/>
                <w:sz w:val="18"/>
                <w:szCs w:val="18"/>
              </w:rPr>
            </w:pPr>
            <w:r>
              <w:rPr>
                <w:rFonts w:ascii="宋体" w:cs="宋体" w:hint="eastAsia"/>
                <w:b/>
                <w:color w:val="000000"/>
                <w:kern w:val="0"/>
                <w:sz w:val="18"/>
                <w:szCs w:val="18"/>
              </w:rPr>
              <w:t>总计</w:t>
            </w:r>
          </w:p>
        </w:tc>
        <w:tc>
          <w:tcPr>
            <w:tcW w:w="325"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28</w:t>
            </w:r>
          </w:p>
        </w:tc>
        <w:tc>
          <w:tcPr>
            <w:tcW w:w="105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434</w:t>
            </w:r>
            <w:r>
              <w:rPr>
                <w:rFonts w:ascii="宋体" w:cs="宋体" w:hint="eastAsia"/>
                <w:color w:val="000000"/>
                <w:sz w:val="18"/>
                <w:szCs w:val="18"/>
                <w:lang w:val="en-US" w:eastAsia="zh-CN"/>
              </w:rPr>
              <w:t>.</w:t>
            </w:r>
            <w:r>
              <w:rPr>
                <w:rFonts w:ascii="宋体" w:cs="宋体" w:hint="eastAsia"/>
                <w:color w:val="000000"/>
                <w:sz w:val="18"/>
                <w:szCs w:val="18"/>
              </w:rPr>
              <w:t>69</w:t>
            </w:r>
          </w:p>
        </w:tc>
        <w:tc>
          <w:tcPr>
            <w:tcW w:w="210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b/>
                <w:color w:val="000000"/>
                <w:sz w:val="18"/>
                <w:szCs w:val="18"/>
              </w:rPr>
            </w:pPr>
            <w:r>
              <w:rPr>
                <w:rFonts w:ascii="宋体" w:cs="宋体" w:hint="eastAsia"/>
                <w:b/>
                <w:color w:val="000000"/>
                <w:kern w:val="0"/>
                <w:sz w:val="18"/>
                <w:szCs w:val="18"/>
              </w:rPr>
              <w:t>总计</w:t>
            </w:r>
          </w:p>
        </w:tc>
        <w:tc>
          <w:tcPr>
            <w:tcW w:w="36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 w:val="18"/>
                <w:szCs w:val="18"/>
              </w:rPr>
            </w:pPr>
            <w:r>
              <w:rPr>
                <w:rFonts w:ascii="宋体" w:cs="宋体" w:hint="eastAsia"/>
                <w:color w:val="000000"/>
                <w:kern w:val="0"/>
                <w:sz w:val="18"/>
                <w:szCs w:val="18"/>
              </w:rPr>
              <w:t>56</w:t>
            </w:r>
          </w:p>
        </w:tc>
        <w:tc>
          <w:tcPr>
            <w:tcW w:w="933"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434</w:t>
            </w:r>
            <w:r>
              <w:rPr>
                <w:rFonts w:ascii="宋体" w:cs="宋体" w:hint="eastAsia"/>
                <w:color w:val="000000"/>
                <w:sz w:val="18"/>
                <w:szCs w:val="18"/>
                <w:lang w:val="en-US" w:eastAsia="zh-CN"/>
              </w:rPr>
              <w:t>.</w:t>
            </w:r>
            <w:r>
              <w:rPr>
                <w:rFonts w:ascii="宋体" w:cs="宋体" w:hint="eastAsia"/>
                <w:color w:val="000000"/>
                <w:sz w:val="18"/>
                <w:szCs w:val="18"/>
              </w:rPr>
              <w:t>69</w:t>
            </w:r>
          </w:p>
        </w:tc>
        <w:tc>
          <w:tcPr>
            <w:tcW w:w="99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r>
              <w:rPr>
                <w:rFonts w:ascii="宋体" w:cs="宋体" w:hint="eastAsia"/>
                <w:color w:val="000000"/>
                <w:sz w:val="18"/>
                <w:szCs w:val="18"/>
              </w:rPr>
              <w:t>434</w:t>
            </w:r>
            <w:r>
              <w:rPr>
                <w:rFonts w:ascii="宋体" w:cs="宋体" w:hint="eastAsia"/>
                <w:color w:val="000000"/>
                <w:sz w:val="18"/>
                <w:szCs w:val="18"/>
                <w:lang w:val="en-US" w:eastAsia="zh-CN"/>
              </w:rPr>
              <w:t>.</w:t>
            </w:r>
            <w:r>
              <w:rPr>
                <w:rFonts w:ascii="宋体" w:cs="宋体" w:hint="eastAsia"/>
                <w:color w:val="000000"/>
                <w:sz w:val="18"/>
                <w:szCs w:val="18"/>
              </w:rPr>
              <w:t>69</w:t>
            </w:r>
          </w:p>
        </w:tc>
        <w:tc>
          <w:tcPr>
            <w:tcW w:w="7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 w:val="18"/>
                <w:szCs w:val="18"/>
              </w:rPr>
            </w:pPr>
          </w:p>
        </w:tc>
      </w:tr>
      <w:tr>
        <w:trPr>
          <w:trHeight w:val="155"/>
        </w:trPr>
        <w:tc>
          <w:tcPr>
            <w:tcW w:w="8940" w:type="dxa"/>
            <w:gridSpan w:val="1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 w:val="18"/>
                <w:szCs w:val="18"/>
              </w:rPr>
            </w:pPr>
            <w:r>
              <w:rPr>
                <w:rFonts w:ascii="宋体" w:cs="宋体" w:hint="eastAsia"/>
                <w:color w:val="000000"/>
                <w:kern w:val="0"/>
                <w:sz w:val="18"/>
                <w:szCs w:val="18"/>
              </w:rPr>
              <w:t>注：本表反映部门本年度一般公共预算财政拨款和政府性基金预算财政拨款的总收支和年末结转结余情况。</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886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317"/>
        <w:gridCol w:w="319"/>
        <w:gridCol w:w="357"/>
        <w:gridCol w:w="2109"/>
        <w:gridCol w:w="745"/>
        <w:gridCol w:w="1174"/>
        <w:gridCol w:w="718"/>
        <w:gridCol w:w="1201"/>
        <w:gridCol w:w="1920"/>
      </w:tblGrid>
      <w:tr>
        <w:trPr>
          <w:trHeight w:val="600"/>
        </w:trPr>
        <w:tc>
          <w:tcPr>
            <w:tcW w:w="8860" w:type="dxa"/>
            <w:gridSpan w:val="9"/>
            <w:tcBorders>
              <w:top w:val="nil"/>
              <w:left w:val="nil"/>
              <w:bottom w:val="nil"/>
              <w:right w:val="nil"/>
            </w:tcBorders>
            <w:shd w:val="clear" w:color="auto" w:fill="auto"/>
            <w:noWrap/>
            <w:tcMar>
              <w:top w:w="15" w:type="dxa"/>
              <w:left w:w="15" w:type="dxa"/>
              <w:right w:w="15" w:type="dxa"/>
            </w:tcMar>
            <w:vAlign w:val="bottom"/>
          </w:tcPr>
          <w:p>
            <w:pPr>
              <w:widowControl/>
              <w:spacing w:after="0" w:line="240" w:lineRule="auto"/>
              <w:jc w:val="center"/>
              <w:textAlignment w:val="bottom"/>
              <w:rPr>
                <w:rFonts w:ascii="黑体" w:eastAsia="黑体" w:cs="黑体"/>
                <w:color w:val="000000"/>
                <w:sz w:val="40"/>
                <w:szCs w:val="40"/>
              </w:rPr>
            </w:pPr>
            <w:r>
              <w:rPr>
                <w:rFonts w:ascii="黑体" w:eastAsia="黑体" w:cs="黑体" w:hint="eastAsia"/>
                <w:color w:val="000000"/>
                <w:kern w:val="0"/>
                <w:sz w:val="40"/>
                <w:szCs w:val="40"/>
              </w:rPr>
              <w:t>一般公共预算财政拨</w:t>
            </w:r>
            <w:r>
              <w:rPr>
                <w:sz w:val="44"/>
              </w:rPr>
              <mc:AlternateContent>
                <mc:Choice Requires="wps">
                  <w:drawing>
                    <wp:anchor distT="0" distB="0" distL="91438" distR="91438" simplePos="0" relativeHeight="95"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74" name="组合"/>
                      <wp:cNvGraphicFramePr>
                        <a:graphicFrameLocks noChangeAspect="0"/>
                      </wp:cNvGraphicFramePr>
                      <a:graphic>
                        <a:graphicData uri="http://schemas.microsoft.com/office/word/2010/wordprocessingGroup">
                          <wpg:wgp>
                            <wpg:cNvPr id="75" name="组合 75"/>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76" name="_s80 76"/>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77" name="_s81 77"/>
                              <wps:cNvSpPr/>
                              <wps:spPr>
                                <a:xfrm rot="0">
                                  <a:off x="8891" y="103505"/>
                                  <a:ext cx="3008613" cy="419736"/>
                                </a:xfrm>
                                <a:prstGeom prst="rect"/>
                                <a:solidFill>
                                  <a:srgbClr val="AD002D"/>
                                </a:solidFill>
                                <a:ln w="25400" cmpd="sng" cap="flat">
                                  <a:solidFill>
                                    <a:srgbClr val="AF7621"/>
                                  </a:solidFill>
                                  <a:prstDash val="solid"/>
                                  <a:miter/>
                                </a:ln>
                              </wps:spPr>
                              <wps:txbx id="78">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79" o:spid="_x0000_s79" coordorigin="-29,475" coordsize="4863,824" style="position:absolute;margin-left:-80.899994pt;margin-top:-81.10013pt;width:243.19995pt;height:41.200157pt;z-index:95;mso-position-horizontal:absolute;mso-position-vertical:absolute;mso-position-vertical-relative:page;mso-wrap-distance-left:7.19989pt;mso-wrap-distance-right:7.19989pt;">
                      <v:rect type="#_x0000_t1" id="_s80" o:spid="_x0000_s80" style="position:absolute;left:-29;top:475;width:4863;height:692;" fillcolor="#D8D8D8" stroked="f">
                        <v:stroke color="#000000"/>
                      </v:rect>
                      <v:rect type="#_x0000_t1" id="_s81" o:spid="_x0000_s81" style="position:absolute;left:-15;top:638;width:4737;height:661;mso-wrap-style:square;" fillcolor="#AD002D" stroked="t" strokeweight="2.0pt">
                        <v:textbox id="869"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款支出决算表</w:t>
            </w:r>
          </w:p>
        </w:tc>
      </w:tr>
      <w:tr>
        <w:trPr>
          <w:trHeight w:val="334"/>
        </w:trPr>
        <w:tc>
          <w:tcPr>
            <w:tcW w:w="31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31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35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210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745"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1892"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3121"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公开05表</w:t>
            </w:r>
          </w:p>
        </w:tc>
      </w:tr>
      <w:tr>
        <w:trPr>
          <w:trHeight w:val="334"/>
        </w:trPr>
        <w:tc>
          <w:tcPr>
            <w:tcW w:w="3847" w:type="dxa"/>
            <w:gridSpan w:val="5"/>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部门：唐山市丰南区文化馆</w:t>
            </w:r>
          </w:p>
        </w:tc>
        <w:tc>
          <w:tcPr>
            <w:tcW w:w="1892"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rPr>
                <w:rFonts w:ascii="Arial" w:cs="Arial" w:hAnsi="Arial"/>
                <w:color w:val="000000"/>
                <w:szCs w:val="21"/>
              </w:rPr>
            </w:pPr>
          </w:p>
        </w:tc>
        <w:tc>
          <w:tcPr>
            <w:tcW w:w="3121"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right"/>
              <w:textAlignment w:val="center"/>
              <w:rPr>
                <w:rFonts w:ascii="宋体" w:cs="宋体"/>
                <w:color w:val="000000"/>
                <w:szCs w:val="21"/>
              </w:rPr>
            </w:pPr>
            <w:r>
              <w:rPr>
                <w:rFonts w:ascii="宋体" w:cs="宋体" w:hint="eastAsia"/>
                <w:color w:val="000000"/>
                <w:kern w:val="0"/>
                <w:szCs w:val="21"/>
              </w:rPr>
              <w:t>金额单位：</w:t>
            </w:r>
            <w:r>
              <w:rPr>
                <w:rFonts w:ascii="宋体" w:cs="宋体" w:hint="eastAsia"/>
                <w:color w:val="000000"/>
                <w:kern w:val="0"/>
                <w:szCs w:val="21"/>
                <w:lang w:eastAsia="zh-CN"/>
              </w:rPr>
              <w:t>万</w:t>
            </w:r>
            <w:r>
              <w:rPr>
                <w:rFonts w:ascii="宋体" w:cs="宋体" w:hint="eastAsia"/>
                <w:color w:val="000000"/>
                <w:kern w:val="0"/>
                <w:szCs w:val="21"/>
              </w:rPr>
              <w:t>元</w:t>
            </w:r>
          </w:p>
        </w:tc>
      </w:tr>
      <w:tr>
        <w:trPr>
          <w:trHeight w:val="351"/>
        </w:trPr>
        <w:tc>
          <w:tcPr>
            <w:tcW w:w="3102"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项目</w:t>
            </w:r>
          </w:p>
        </w:tc>
        <w:tc>
          <w:tcPr>
            <w:tcW w:w="5758" w:type="dxa"/>
            <w:gridSpan w:val="5"/>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本年支出</w:t>
            </w:r>
          </w:p>
        </w:tc>
      </w:tr>
      <w:tr>
        <w:trPr>
          <w:trHeight w:val="334"/>
        </w:trPr>
        <w:tc>
          <w:tcPr>
            <w:tcW w:w="993" w:type="dxa"/>
            <w:gridSpan w:val="3"/>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功能分类科目编码</w:t>
            </w:r>
          </w:p>
        </w:tc>
        <w:tc>
          <w:tcPr>
            <w:tcW w:w="2109"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科目名称</w:t>
            </w:r>
          </w:p>
        </w:tc>
        <w:tc>
          <w:tcPr>
            <w:tcW w:w="1919" w:type="dxa"/>
            <w:gridSpan w:val="2"/>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小计</w:t>
            </w:r>
          </w:p>
        </w:tc>
        <w:tc>
          <w:tcPr>
            <w:tcW w:w="1919" w:type="dxa"/>
            <w:gridSpan w:val="2"/>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基本支出</w:t>
            </w:r>
          </w:p>
        </w:tc>
        <w:tc>
          <w:tcPr>
            <w:tcW w:w="192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项目支出</w:t>
            </w:r>
          </w:p>
        </w:tc>
      </w:tr>
      <w:tr>
        <w:trPr>
          <w:trHeight w:val="334"/>
        </w:trPr>
        <w:tc>
          <w:tcPr>
            <w:tcW w:w="993"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210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19"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19"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2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12"/>
        </w:trPr>
        <w:tc>
          <w:tcPr>
            <w:tcW w:w="993"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210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19"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19"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92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68"/>
        </w:trPr>
        <w:tc>
          <w:tcPr>
            <w:tcW w:w="3102"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栏次</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1</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2</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3</w:t>
            </w:r>
          </w:p>
        </w:tc>
      </w:tr>
      <w:tr>
        <w:trPr>
          <w:trHeight w:val="368"/>
        </w:trPr>
        <w:tc>
          <w:tcPr>
            <w:tcW w:w="3102"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center"/>
              <w:textAlignment w:val="center"/>
              <w:rPr>
                <w:rFonts w:ascii="宋体" w:cs="宋体"/>
                <w:color w:val="000000"/>
                <w:szCs w:val="21"/>
              </w:rPr>
            </w:pPr>
            <w:r>
              <w:rPr>
                <w:rFonts w:ascii="宋体" w:cs="宋体" w:hint="eastAsia"/>
                <w:color w:val="000000"/>
                <w:kern w:val="0"/>
                <w:szCs w:val="21"/>
              </w:rPr>
              <w:t>合计</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r>
              <w:rPr>
                <w:rFonts w:ascii="宋体" w:cs="宋体" w:hint="eastAsia"/>
                <w:b/>
                <w:color w:val="000000"/>
                <w:szCs w:val="21"/>
              </w:rPr>
              <w:t>433</w:t>
            </w:r>
            <w:r>
              <w:rPr>
                <w:rFonts w:ascii="宋体" w:cs="宋体" w:hint="eastAsia"/>
                <w:b/>
                <w:color w:val="000000"/>
                <w:szCs w:val="21"/>
                <w:lang w:val="en-US" w:eastAsia="zh-CN"/>
              </w:rPr>
              <w:t>.</w:t>
            </w:r>
            <w:r>
              <w:rPr>
                <w:rFonts w:ascii="宋体" w:cs="宋体" w:hint="eastAsia"/>
                <w:b/>
                <w:color w:val="000000"/>
                <w:szCs w:val="21"/>
              </w:rPr>
              <w:t>84</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b/>
                <w:color w:val="000000"/>
                <w:szCs w:val="21"/>
                <w:lang w:val="en-US" w:eastAsia="zh-CN"/>
              </w:rPr>
            </w:pPr>
            <w:r>
              <w:rPr>
                <w:rFonts w:ascii="宋体" w:cs="宋体" w:hint="eastAsia"/>
                <w:b/>
                <w:color w:val="000000"/>
                <w:szCs w:val="21"/>
              </w:rPr>
              <w:t>381</w:t>
            </w:r>
            <w:r>
              <w:rPr>
                <w:rFonts w:ascii="宋体" w:cs="宋体" w:hint="eastAsia"/>
                <w:b/>
                <w:color w:val="000000"/>
                <w:szCs w:val="21"/>
                <w:lang w:val="en-US" w:eastAsia="zh-CN"/>
              </w:rPr>
              <w:t>.80</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b/>
                <w:color w:val="000000"/>
                <w:szCs w:val="21"/>
              </w:rPr>
            </w:pPr>
            <w:r>
              <w:rPr>
                <w:rFonts w:ascii="宋体" w:cs="宋体" w:hint="eastAsia"/>
                <w:b/>
                <w:color w:val="000000"/>
                <w:szCs w:val="21"/>
              </w:rPr>
              <w:t>52</w:t>
            </w:r>
            <w:r>
              <w:rPr>
                <w:rFonts w:ascii="宋体" w:cs="宋体" w:hint="eastAsia"/>
                <w:b/>
                <w:color w:val="000000"/>
                <w:szCs w:val="21"/>
                <w:lang w:val="en-US" w:eastAsia="zh-CN"/>
              </w:rPr>
              <w:t>.</w:t>
            </w:r>
            <w:r>
              <w:rPr>
                <w:rFonts w:ascii="宋体" w:cs="宋体" w:hint="eastAsia"/>
                <w:b/>
                <w:color w:val="000000"/>
                <w:szCs w:val="21"/>
              </w:rPr>
              <w:t>04</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文化体育与传媒支出</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433</w:t>
            </w:r>
            <w:r>
              <w:rPr>
                <w:rFonts w:ascii="宋体" w:cs="宋体" w:hint="eastAsia"/>
                <w:color w:val="000000"/>
                <w:szCs w:val="21"/>
                <w:lang w:val="en-US" w:eastAsia="zh-CN"/>
              </w:rPr>
              <w:t>.</w:t>
            </w:r>
            <w:r>
              <w:rPr>
                <w:rFonts w:ascii="宋体" w:cs="宋体" w:hint="eastAsia"/>
                <w:color w:val="000000"/>
                <w:szCs w:val="21"/>
              </w:rPr>
              <w:t>84</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rPr>
              <w:t>381</w:t>
            </w:r>
            <w:r>
              <w:rPr>
                <w:rFonts w:ascii="宋体" w:cs="宋体" w:hint="eastAsia"/>
                <w:color w:val="000000"/>
                <w:szCs w:val="21"/>
                <w:lang w:val="en-US" w:eastAsia="zh-CN"/>
              </w:rPr>
              <w:t>.80</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Cs w:val="21"/>
                <w:lang w:val="en-US" w:eastAsia="zh-CN"/>
              </w:rPr>
            </w:pPr>
            <w:r>
              <w:rPr>
                <w:rFonts w:ascii="宋体" w:cs="宋体" w:hint="eastAsia"/>
                <w:color w:val="000000"/>
                <w:szCs w:val="21"/>
              </w:rPr>
              <w:t>52</w:t>
            </w:r>
            <w:r>
              <w:rPr>
                <w:rFonts w:ascii="宋体" w:cs="宋体" w:hint="eastAsia"/>
                <w:color w:val="000000"/>
                <w:szCs w:val="21"/>
                <w:lang w:val="en-US" w:eastAsia="zh-CN"/>
              </w:rPr>
              <w:t>.</w:t>
            </w:r>
            <w:r>
              <w:rPr>
                <w:rFonts w:ascii="宋体" w:cs="宋体" w:hint="eastAsia"/>
                <w:color w:val="000000"/>
                <w:szCs w:val="21"/>
              </w:rPr>
              <w:t>0</w:t>
            </w:r>
            <w:r>
              <w:rPr>
                <w:rFonts w:ascii="宋体" w:cs="宋体" w:hint="eastAsia"/>
                <w:color w:val="000000"/>
                <w:szCs w:val="21"/>
                <w:lang w:val="en-US" w:eastAsia="zh-CN"/>
              </w:rPr>
              <w:t>4</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84</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rPr>
              <w:t>381</w:t>
            </w:r>
            <w:r>
              <w:rPr>
                <w:rFonts w:ascii="宋体" w:cs="宋体" w:hint="eastAsia"/>
                <w:color w:val="000000"/>
                <w:szCs w:val="21"/>
                <w:lang w:val="en-US" w:eastAsia="zh-CN"/>
              </w:rPr>
              <w:t>.80</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w:t>
            </w:r>
            <w:r>
              <w:rPr>
                <w:rFonts w:ascii="宋体" w:cs="宋体" w:hint="eastAsia"/>
                <w:color w:val="000000"/>
                <w:szCs w:val="21"/>
                <w:lang w:val="en-US" w:eastAsia="zh-CN"/>
              </w:rPr>
              <w:t>.</w:t>
            </w:r>
            <w:r>
              <w:rPr>
                <w:rFonts w:ascii="宋体" w:cs="宋体" w:hint="eastAsia"/>
                <w:color w:val="000000"/>
                <w:szCs w:val="21"/>
              </w:rPr>
              <w:t>04</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2070105</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文化展示与纪念机构</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lang w:val="en-US" w:eastAsia="zh-CN"/>
              </w:rPr>
              <w:t>0.02</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lang w:val="en-US" w:eastAsia="zh-CN"/>
              </w:rPr>
              <w:t>0.02</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2070109</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群众文化</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423</w:t>
            </w:r>
            <w:r>
              <w:rPr>
                <w:rFonts w:ascii="宋体" w:cs="宋体" w:hint="eastAsia"/>
                <w:color w:val="000000"/>
                <w:szCs w:val="21"/>
                <w:lang w:val="en-US" w:eastAsia="zh-CN"/>
              </w:rPr>
              <w:t>.</w:t>
            </w:r>
            <w:r>
              <w:rPr>
                <w:rFonts w:ascii="宋体" w:cs="宋体" w:hint="eastAsia"/>
                <w:color w:val="000000"/>
                <w:szCs w:val="21"/>
              </w:rPr>
              <w:t>82</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color w:val="000000"/>
                <w:szCs w:val="21"/>
                <w:lang w:val="en-US" w:eastAsia="zh-CN"/>
              </w:rPr>
            </w:pPr>
            <w:r>
              <w:rPr>
                <w:rFonts w:ascii="宋体" w:cs="宋体" w:hint="eastAsia"/>
                <w:color w:val="000000"/>
                <w:szCs w:val="21"/>
              </w:rPr>
              <w:t>381</w:t>
            </w:r>
            <w:r>
              <w:rPr>
                <w:rFonts w:ascii="宋体" w:cs="宋体" w:hint="eastAsia"/>
                <w:color w:val="000000"/>
                <w:szCs w:val="21"/>
                <w:lang w:val="en-US" w:eastAsia="zh-CN"/>
              </w:rPr>
              <w:t>.78</w:t>
            </w: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eastAsia="宋体" w:cs="宋体" w:hint="eastAsia"/>
                <w:color w:val="000000"/>
                <w:szCs w:val="21"/>
                <w:lang w:eastAsia="zh-CN"/>
              </w:rPr>
            </w:pPr>
            <w:r>
              <w:rPr>
                <w:rFonts w:ascii="宋体" w:cs="宋体" w:hint="eastAsia"/>
                <w:color w:val="000000"/>
                <w:szCs w:val="21"/>
              </w:rPr>
              <w:t>42</w:t>
            </w:r>
            <w:r>
              <w:rPr>
                <w:rFonts w:ascii="宋体" w:cs="宋体" w:hint="eastAsia"/>
                <w:color w:val="000000"/>
                <w:szCs w:val="21"/>
                <w:lang w:val="en-US" w:eastAsia="zh-CN"/>
              </w:rPr>
              <w:t>.</w:t>
            </w:r>
            <w:r>
              <w:rPr>
                <w:rFonts w:ascii="宋体" w:cs="宋体" w:hint="eastAsia"/>
                <w:color w:val="000000"/>
                <w:szCs w:val="21"/>
              </w:rPr>
              <w:t>0</w:t>
            </w:r>
            <w:r>
              <w:rPr>
                <w:rFonts w:ascii="宋体" w:cs="宋体" w:hint="eastAsia"/>
                <w:color w:val="000000"/>
                <w:szCs w:val="21"/>
                <w:lang w:val="en-US" w:eastAsia="zh-CN"/>
              </w:rPr>
              <w:t>4</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2079999</w:t>
            </w: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r>
              <w:rPr>
                <w:rFonts w:ascii="宋体" w:cs="宋体" w:hint="eastAsia"/>
                <w:color w:val="000000"/>
                <w:szCs w:val="21"/>
              </w:rPr>
              <w:t>其他文化体育与传媒支出</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r>
              <w:rPr>
                <w:rFonts w:ascii="宋体" w:cs="宋体" w:hint="eastAsia"/>
                <w:color w:val="000000"/>
                <w:szCs w:val="21"/>
              </w:rPr>
              <w:t>10.00</w:t>
            </w: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68"/>
        </w:trPr>
        <w:tc>
          <w:tcPr>
            <w:tcW w:w="993"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210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lef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19"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c>
          <w:tcPr>
            <w:tcW w:w="192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tLeast"/>
              <w:jc w:val="right"/>
              <w:rPr>
                <w:rFonts w:ascii="宋体" w:cs="宋体"/>
                <w:color w:val="000000"/>
                <w:szCs w:val="21"/>
              </w:rPr>
            </w:pPr>
          </w:p>
        </w:tc>
      </w:tr>
      <w:tr>
        <w:trPr>
          <w:trHeight w:val="368"/>
        </w:trPr>
        <w:tc>
          <w:tcPr>
            <w:tcW w:w="8860" w:type="dxa"/>
            <w:gridSpan w:val="9"/>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tLeast"/>
              <w:jc w:val="left"/>
              <w:textAlignment w:val="center"/>
              <w:rPr>
                <w:rFonts w:ascii="宋体" w:cs="宋体"/>
                <w:color w:val="000000"/>
                <w:szCs w:val="21"/>
              </w:rPr>
            </w:pPr>
            <w:r>
              <w:rPr>
                <w:rFonts w:ascii="宋体" w:cs="宋体" w:hint="eastAsia"/>
                <w:color w:val="000000"/>
                <w:kern w:val="0"/>
                <w:szCs w:val="21"/>
              </w:rPr>
              <w:t xml:space="preserve">注：本表反映部门本年度一般公共预算财政拨款收入及支出情况。      </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center"/>
        <w:tblW w:w="918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559"/>
        <w:gridCol w:w="1598"/>
        <w:gridCol w:w="840"/>
        <w:gridCol w:w="477"/>
        <w:gridCol w:w="1763"/>
        <w:gridCol w:w="740"/>
        <w:gridCol w:w="560"/>
        <w:gridCol w:w="1788"/>
        <w:gridCol w:w="857"/>
      </w:tblGrid>
      <w:tr>
        <w:trPr>
          <w:trHeight w:val="526"/>
        </w:trPr>
        <w:tc>
          <w:tcPr>
            <w:tcW w:w="9180" w:type="dxa"/>
            <w:gridSpan w:val="9"/>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center"/>
              <w:textAlignment w:val="center"/>
              <w:rPr>
                <w:rFonts w:ascii="黑体" w:eastAsia="黑体" w:cs="黑体"/>
                <w:color w:val="000000"/>
                <w:sz w:val="40"/>
                <w:szCs w:val="40"/>
              </w:rPr>
            </w:pPr>
            <w:r>
              <w:rPr>
                <w:rFonts w:ascii="黑体" w:eastAsia="黑体" w:cs="黑体" w:hint="eastAsia"/>
                <w:color w:val="000000"/>
                <w:kern w:val="0"/>
                <w:sz w:val="40"/>
                <w:szCs w:val="40"/>
              </w:rPr>
              <w:t>一般公共预算财政拨款基本支出决算表</w:t>
            </w:r>
          </w:p>
        </w:tc>
      </w:tr>
      <w:tr>
        <w:trPr>
          <w:trHeight w:val="269"/>
        </w:trPr>
        <w:tc>
          <w:tcPr>
            <w:tcW w:w="559"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1598"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84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477"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1762"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74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56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2644"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right"/>
              <w:textAlignment w:val="center"/>
              <w:rPr>
                <w:rFonts w:ascii="宋体" w:cs="宋体"/>
                <w:color w:val="000000"/>
                <w:sz w:val="22"/>
                <w:szCs w:val="22"/>
              </w:rPr>
            </w:pPr>
            <w:r>
              <w:rPr>
                <w:rFonts w:ascii="宋体" w:cs="宋体" w:hint="eastAsia"/>
                <w:color w:val="000000"/>
                <w:kern w:val="0"/>
                <w:sz w:val="22"/>
                <w:szCs w:val="22"/>
              </w:rPr>
              <w:t>公开06表</w:t>
            </w:r>
          </w:p>
        </w:tc>
      </w:tr>
      <w:tr>
        <w:trPr>
          <w:trHeight w:val="269"/>
        </w:trPr>
        <w:tc>
          <w:tcPr>
            <w:tcW w:w="5236" w:type="dxa"/>
            <w:gridSpan w:val="5"/>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left"/>
              <w:textAlignment w:val="center"/>
              <w:rPr>
                <w:rFonts w:ascii="宋体" w:cs="宋体"/>
                <w:color w:val="000000"/>
                <w:sz w:val="22"/>
                <w:szCs w:val="22"/>
              </w:rPr>
            </w:pPr>
            <w:r>
              <w:rPr>
                <w:rFonts w:ascii="宋体" w:cs="宋体" w:hint="eastAsia"/>
                <w:color w:val="000000"/>
                <w:kern w:val="0"/>
                <w:sz w:val="22"/>
                <w:szCs w:val="22"/>
              </w:rPr>
              <w:t>部门：</w:t>
            </w:r>
            <w:r>
              <w:rPr>
                <w:sz w:val="44"/>
              </w:rPr>
              <mc:AlternateContent>
                <mc:Choice Requires="wps">
                  <w:drawing>
                    <wp:anchor distT="0" distB="0" distL="91438" distR="91438" simplePos="0" relativeHeight="97" behindDoc="0" locked="1" layoutInCell="1" hidden="0" allowOverlap="1">
                      <wp:simplePos x="0" y="0"/>
                      <wp:positionH relativeFrom="column">
                        <wp:posOffset>-930274</wp:posOffset>
                      </wp:positionH>
                      <wp:positionV relativeFrom="page">
                        <wp:posOffset>-1643379</wp:posOffset>
                      </wp:positionV>
                      <wp:extent cx="3088639" cy="523238"/>
                      <wp:effectExtent l="0" t="0" r="0" b="0"/>
                      <wp:wrapNone/>
                      <wp:docPr id="82" name="组合"/>
                      <wp:cNvGraphicFramePr>
                        <a:graphicFrameLocks noChangeAspect="0"/>
                      </wp:cNvGraphicFramePr>
                      <a:graphic>
                        <a:graphicData uri="http://schemas.microsoft.com/office/word/2010/wordprocessingGroup">
                          <wpg:wgp>
                            <wpg:cNvPr id="83" name="组合 83"/>
                            <wpg:cNvGrpSpPr/>
                            <wpg:grpSpPr>
                              <a:xfrm rot="0">
                                <a:off x="0" y="0"/>
                                <a:ext cx="3088639" cy="523238"/>
                                <a:chOff x="0" y="0"/>
                                <a:chExt cx="3088639" cy="523238"/>
                              </a:xfrm>
                              <a:prstGeom prst="rect"/>
                              <a:solidFill>
                                <a:srgbClr val="FFFFFF"/>
                              </a:solidFill>
                              <a:ln w="9525" cmpd="sng" cap="flat">
                                <a:solidFill>
                                  <a:srgbClr val="000000"/>
                                </a:solidFill>
                                <a:prstDash val="solid"/>
                                <a:miter/>
                              </a:ln>
                            </wpg:grpSpPr>
                            <wps:wsp>
                              <wps:cNvPr id="84" name="_s88 84"/>
                              <wps:cNvSpPr/>
                              <wps:spPr>
                                <a:xfrm rot="0">
                                  <a:off x="0" y="0"/>
                                  <a:ext cx="3088639" cy="439952"/>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85" name="_s89 85"/>
                              <wps:cNvSpPr/>
                              <wps:spPr>
                                <a:xfrm rot="0">
                                  <a:off x="8891" y="102994"/>
                                  <a:ext cx="3008612" cy="420243"/>
                                </a:xfrm>
                                <a:prstGeom prst="rect"/>
                                <a:solidFill>
                                  <a:srgbClr val="AD002D"/>
                                </a:solidFill>
                                <a:ln w="25400" cmpd="sng" cap="flat">
                                  <a:solidFill>
                                    <a:srgbClr val="AF7621"/>
                                  </a:solidFill>
                                  <a:prstDash val="solid"/>
                                  <a:miter/>
                                </a:ln>
                              </wps:spPr>
                              <wps:txbx id="86">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87" o:spid="_x0000_s87" coordorigin="-30,476" coordsize="4863,823" style="position:absolute;margin-left:-73.25pt;margin-top:-129.39996pt;width:243.19995pt;height:41.199844pt;z-index:97;mso-position-horizontal:absolute;mso-position-vertical:absolute;mso-position-vertical-relative:page;mso-wrap-distance-left:7.19989pt;mso-wrap-distance-right:7.19989pt;">
                      <v:rect type="#_x0000_t1" id="_s88" o:spid="_x0000_s88" style="position:absolute;left:-30;top:476;width:4863;height:692;" fillcolor="#D8D8D8" stroked="f">
                        <v:stroke color="#000000"/>
                      </v:rect>
                      <v:rect type="#_x0000_t1" id="_s89" o:spid="_x0000_s89" style="position:absolute;left:-16;top:638;width:4737;height:661;mso-wrap-style:square;" fillcolor="#AD002D" stroked="t" strokeweight="2.0pt">
                        <v:textbox id="870"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宋体" w:cs="宋体" w:hint="eastAsia"/>
                <w:color w:val="000000"/>
                <w:kern w:val="0"/>
                <w:sz w:val="22"/>
                <w:szCs w:val="22"/>
              </w:rPr>
              <w:t>唐山市丰南区文化馆</w:t>
            </w:r>
          </w:p>
        </w:tc>
        <w:tc>
          <w:tcPr>
            <w:tcW w:w="74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560"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2644"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right"/>
              <w:textAlignment w:val="center"/>
              <w:rPr>
                <w:rFonts w:ascii="宋体" w:cs="宋体"/>
                <w:color w:val="000000"/>
                <w:sz w:val="22"/>
                <w:szCs w:val="22"/>
              </w:rPr>
            </w:pPr>
            <w:r>
              <w:rPr>
                <w:rFonts w:ascii="宋体" w:cs="宋体" w:hint="eastAsia"/>
                <w:color w:val="000000"/>
                <w:kern w:val="0"/>
                <w:sz w:val="22"/>
                <w:szCs w:val="22"/>
              </w:rPr>
              <w:t>金额单位：</w:t>
            </w:r>
            <w:r>
              <w:rPr>
                <w:rFonts w:ascii="宋体" w:cs="宋体" w:hint="eastAsia"/>
                <w:color w:val="000000"/>
                <w:kern w:val="0"/>
                <w:sz w:val="22"/>
                <w:szCs w:val="22"/>
                <w:lang w:eastAsia="zh-CN"/>
              </w:rPr>
              <w:t>万</w:t>
            </w:r>
            <w:r>
              <w:rPr>
                <w:rFonts w:ascii="宋体" w:cs="宋体" w:hint="eastAsia"/>
                <w:color w:val="000000"/>
                <w:kern w:val="0"/>
                <w:sz w:val="22"/>
                <w:szCs w:val="22"/>
              </w:rPr>
              <w:t>元</w:t>
            </w:r>
          </w:p>
        </w:tc>
      </w:tr>
      <w:tr>
        <w:trPr>
          <w:trHeight w:val="277"/>
        </w:trPr>
        <w:tc>
          <w:tcPr>
            <w:tcW w:w="2997"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人员经费</w:t>
            </w:r>
          </w:p>
        </w:tc>
        <w:tc>
          <w:tcPr>
            <w:tcW w:w="6183" w:type="dxa"/>
            <w:gridSpan w:val="6"/>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公用经费</w:t>
            </w:r>
          </w:p>
        </w:tc>
      </w:tr>
      <w:tr>
        <w:trPr>
          <w:trHeight w:val="312"/>
        </w:trPr>
        <w:tc>
          <w:tcPr>
            <w:tcW w:w="559"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科目编码</w:t>
            </w:r>
          </w:p>
        </w:tc>
        <w:tc>
          <w:tcPr>
            <w:tcW w:w="1598"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科目名称</w:t>
            </w:r>
          </w:p>
        </w:tc>
        <w:tc>
          <w:tcPr>
            <w:tcW w:w="840"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决算数</w:t>
            </w:r>
          </w:p>
        </w:tc>
        <w:tc>
          <w:tcPr>
            <w:tcW w:w="477"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科目编码</w:t>
            </w:r>
          </w:p>
        </w:tc>
        <w:tc>
          <w:tcPr>
            <w:tcW w:w="1763"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科目名称</w:t>
            </w:r>
          </w:p>
        </w:tc>
        <w:tc>
          <w:tcPr>
            <w:tcW w:w="739"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决算数</w:t>
            </w:r>
          </w:p>
        </w:tc>
        <w:tc>
          <w:tcPr>
            <w:tcW w:w="559"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科目编码</w:t>
            </w:r>
          </w:p>
        </w:tc>
        <w:tc>
          <w:tcPr>
            <w:tcW w:w="1788"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科目名称</w:t>
            </w:r>
          </w:p>
        </w:tc>
        <w:tc>
          <w:tcPr>
            <w:tcW w:w="857"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Cs w:val="21"/>
              </w:rPr>
            </w:pPr>
            <w:r>
              <w:rPr>
                <w:rFonts w:ascii="宋体" w:cs="宋体" w:hint="eastAsia"/>
                <w:color w:val="000000"/>
                <w:kern w:val="0"/>
                <w:szCs w:val="21"/>
              </w:rPr>
              <w:t>决算数</w:t>
            </w:r>
          </w:p>
        </w:tc>
      </w:tr>
      <w:tr>
        <w:trPr>
          <w:trHeight w:val="312"/>
        </w:trPr>
        <w:tc>
          <w:tcPr>
            <w:tcW w:w="55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598"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40"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47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763"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73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559"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788"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57"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工资福利支出</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317</w:t>
            </w:r>
            <w:r>
              <w:rPr>
                <w:rFonts w:ascii="宋体" w:cs="宋体" w:hint="eastAsia"/>
                <w:color w:val="000000"/>
                <w:sz w:val="16"/>
                <w:szCs w:val="16"/>
                <w:lang w:val="en-US" w:eastAsia="zh-CN"/>
              </w:rPr>
              <w:t>.</w:t>
            </w:r>
            <w:r>
              <w:rPr>
                <w:rFonts w:ascii="宋体" w:cs="宋体" w:hint="eastAsia"/>
                <w:color w:val="000000"/>
                <w:sz w:val="16"/>
                <w:szCs w:val="16"/>
              </w:rPr>
              <w:t>7</w:t>
            </w:r>
            <w:r>
              <w:rPr>
                <w:rFonts w:ascii="宋体" w:cs="宋体" w:hint="eastAsia"/>
                <w:color w:val="000000"/>
                <w:sz w:val="16"/>
                <w:szCs w:val="16"/>
                <w:lang w:val="en-US" w:eastAsia="zh-CN"/>
              </w:rPr>
              <w:t>6</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商品和服务支出</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34</w:t>
            </w:r>
            <w:r>
              <w:rPr>
                <w:rFonts w:ascii="宋体" w:cs="宋体" w:hint="eastAsia"/>
                <w:color w:val="000000"/>
                <w:sz w:val="16"/>
                <w:szCs w:val="16"/>
                <w:lang w:val="en-US" w:eastAsia="zh-CN"/>
              </w:rPr>
              <w:t>.</w:t>
            </w:r>
            <w:r>
              <w:rPr>
                <w:rFonts w:ascii="宋体" w:cs="宋体" w:hint="eastAsia"/>
                <w:color w:val="000000"/>
                <w:sz w:val="16"/>
                <w:szCs w:val="16"/>
              </w:rPr>
              <w:t>4</w:t>
            </w:r>
            <w:r>
              <w:rPr>
                <w:rFonts w:ascii="宋体" w:cs="宋体" w:hint="eastAsia"/>
                <w:color w:val="000000"/>
                <w:sz w:val="16"/>
                <w:szCs w:val="16"/>
                <w:lang w:val="en-US" w:eastAsia="zh-CN"/>
              </w:rPr>
              <w:t>7</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307</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债务利息及费用支出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30101</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基本工资</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90</w:t>
            </w:r>
            <w:r>
              <w:rPr>
                <w:rFonts w:ascii="宋体" w:cs="宋体" w:hint="eastAsia"/>
                <w:color w:val="000000"/>
                <w:sz w:val="16"/>
                <w:szCs w:val="16"/>
                <w:lang w:val="en-US" w:eastAsia="zh-CN"/>
              </w:rPr>
              <w:t>.</w:t>
            </w:r>
            <w:r>
              <w:rPr>
                <w:rFonts w:ascii="宋体" w:cs="宋体" w:hint="eastAsia"/>
                <w:color w:val="000000"/>
                <w:sz w:val="16"/>
                <w:szCs w:val="16"/>
              </w:rPr>
              <w:t>4</w:t>
            </w:r>
            <w:r>
              <w:rPr>
                <w:rFonts w:ascii="宋体" w:cs="宋体" w:hint="eastAsia"/>
                <w:color w:val="000000"/>
                <w:sz w:val="16"/>
                <w:szCs w:val="16"/>
                <w:lang w:val="en-US" w:eastAsia="zh-CN"/>
              </w:rPr>
              <w:t>4</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30201</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办公费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4</w:t>
            </w:r>
            <w:r>
              <w:rPr>
                <w:rFonts w:ascii="宋体" w:cs="宋体" w:hint="eastAsia"/>
                <w:color w:val="000000"/>
                <w:sz w:val="16"/>
                <w:szCs w:val="16"/>
                <w:lang w:val="en-US" w:eastAsia="zh-CN"/>
              </w:rPr>
              <w:t>.</w:t>
            </w:r>
            <w:r>
              <w:rPr>
                <w:rFonts w:ascii="宋体" w:cs="宋体" w:hint="eastAsia"/>
                <w:color w:val="000000"/>
                <w:sz w:val="16"/>
                <w:szCs w:val="16"/>
              </w:rPr>
              <w:t>2</w:t>
            </w:r>
            <w:r>
              <w:rPr>
                <w:rFonts w:ascii="宋体" w:cs="宋体" w:hint="eastAsia"/>
                <w:color w:val="000000"/>
                <w:sz w:val="16"/>
                <w:szCs w:val="16"/>
                <w:lang w:val="en-US" w:eastAsia="zh-CN"/>
              </w:rPr>
              <w:t>8</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30701</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国内债务付息</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30102</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津贴补贴</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12</w:t>
            </w:r>
            <w:r>
              <w:rPr>
                <w:rFonts w:ascii="宋体" w:cs="宋体" w:hint="eastAsia"/>
                <w:color w:val="000000"/>
                <w:sz w:val="16"/>
                <w:szCs w:val="16"/>
                <w:lang w:val="en-US" w:eastAsia="zh-CN"/>
              </w:rPr>
              <w:t>.</w:t>
            </w:r>
            <w:r>
              <w:rPr>
                <w:rFonts w:ascii="宋体" w:cs="宋体" w:hint="eastAsia"/>
                <w:color w:val="000000"/>
                <w:sz w:val="16"/>
                <w:szCs w:val="16"/>
              </w:rPr>
              <w:t>4</w:t>
            </w:r>
            <w:r>
              <w:rPr>
                <w:rFonts w:ascii="宋体" w:cs="宋体" w:hint="eastAsia"/>
                <w:color w:val="000000"/>
                <w:sz w:val="16"/>
                <w:szCs w:val="16"/>
                <w:lang w:val="en-US" w:eastAsia="zh-CN"/>
              </w:rPr>
              <w:t>7</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30202</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印刷费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30702</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国外债务付息</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30103</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奖金</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36.00</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30203</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咨询费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资本性支出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r>
              <w:rPr>
                <w:rFonts w:ascii="宋体" w:cs="宋体" w:hint="eastAsia"/>
                <w:color w:val="000000"/>
                <w:sz w:val="20"/>
                <w:szCs w:val="20"/>
              </w:rPr>
              <w:t>1</w:t>
            </w:r>
            <w:r>
              <w:rPr>
                <w:rFonts w:ascii="宋体" w:cs="宋体" w:hint="eastAsia"/>
                <w:color w:val="000000"/>
                <w:sz w:val="20"/>
                <w:szCs w:val="20"/>
                <w:lang w:val="en-US" w:eastAsia="zh-CN"/>
              </w:rPr>
              <w:t>.</w:t>
            </w:r>
            <w:r>
              <w:rPr>
                <w:rFonts w:ascii="宋体" w:cs="宋体" w:hint="eastAsia"/>
                <w:color w:val="000000"/>
                <w:sz w:val="20"/>
                <w:szCs w:val="20"/>
              </w:rPr>
              <w:t>50</w:t>
            </w: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30106</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伙食补助费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30204</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手续费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31001</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房屋建筑物购建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30107</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绩效工资</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90</w:t>
            </w:r>
            <w:r>
              <w:rPr>
                <w:rFonts w:ascii="宋体" w:cs="宋体" w:hint="eastAsia"/>
                <w:color w:val="000000"/>
                <w:sz w:val="16"/>
                <w:szCs w:val="16"/>
                <w:lang w:val="en-US" w:eastAsia="zh-CN"/>
              </w:rPr>
              <w:t>.</w:t>
            </w:r>
            <w:r>
              <w:rPr>
                <w:rFonts w:ascii="宋体" w:cs="宋体" w:hint="eastAsia"/>
                <w:color w:val="000000"/>
                <w:sz w:val="16"/>
                <w:szCs w:val="16"/>
              </w:rPr>
              <w:t>84</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30205</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水费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31002</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办公设备购置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r>
              <w:rPr>
                <w:rFonts w:ascii="宋体" w:cs="宋体" w:hint="eastAsia"/>
                <w:color w:val="000000"/>
                <w:sz w:val="20"/>
                <w:szCs w:val="20"/>
              </w:rPr>
              <w:t>1</w:t>
            </w:r>
            <w:r>
              <w:rPr>
                <w:rFonts w:ascii="宋体" w:cs="宋体" w:hint="eastAsia"/>
                <w:color w:val="000000"/>
                <w:sz w:val="20"/>
                <w:szCs w:val="20"/>
                <w:lang w:val="en-US" w:eastAsia="zh-CN"/>
              </w:rPr>
              <w:t>.</w:t>
            </w:r>
            <w:r>
              <w:rPr>
                <w:rFonts w:ascii="宋体" w:cs="宋体" w:hint="eastAsia"/>
                <w:color w:val="000000"/>
                <w:sz w:val="20"/>
                <w:szCs w:val="20"/>
              </w:rPr>
              <w:t>50</w:t>
            </w: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30108</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机关事业单位基本养老保险缴费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30</w:t>
            </w:r>
            <w:r>
              <w:rPr>
                <w:rFonts w:ascii="宋体" w:cs="宋体" w:hint="eastAsia"/>
                <w:color w:val="000000"/>
                <w:sz w:val="16"/>
                <w:szCs w:val="16"/>
                <w:lang w:val="en-US" w:eastAsia="zh-CN"/>
              </w:rPr>
              <w:t>.</w:t>
            </w:r>
            <w:r>
              <w:rPr>
                <w:rFonts w:ascii="宋体" w:cs="宋体" w:hint="eastAsia"/>
                <w:color w:val="000000"/>
                <w:sz w:val="16"/>
                <w:szCs w:val="16"/>
              </w:rPr>
              <w:t>35</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30206</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电费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31003</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专用设备购置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30109</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职业年金缴费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lang w:val="en-US" w:eastAsia="zh-CN"/>
              </w:rPr>
              <w:t>0.</w:t>
            </w:r>
            <w:r>
              <w:rPr>
                <w:rFonts w:ascii="宋体" w:cs="宋体" w:hint="eastAsia"/>
                <w:color w:val="000000"/>
                <w:sz w:val="16"/>
                <w:szCs w:val="16"/>
              </w:rPr>
              <w:t>4</w:t>
            </w:r>
            <w:r>
              <w:rPr>
                <w:rFonts w:ascii="宋体" w:cs="宋体" w:hint="eastAsia"/>
                <w:color w:val="000000"/>
                <w:sz w:val="16"/>
                <w:szCs w:val="16"/>
                <w:lang w:val="en-US" w:eastAsia="zh-CN"/>
              </w:rPr>
              <w:t>3</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30207</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邮电费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lang w:val="en-US" w:eastAsia="zh-CN"/>
              </w:rPr>
              <w:t>0.09</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31005</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基础设施建设</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30110</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职工基本医疗保险缴费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14</w:t>
            </w:r>
            <w:r>
              <w:rPr>
                <w:rFonts w:ascii="宋体" w:cs="宋体" w:hint="eastAsia"/>
                <w:color w:val="000000"/>
                <w:sz w:val="16"/>
                <w:szCs w:val="16"/>
                <w:lang w:val="en-US" w:eastAsia="zh-CN"/>
              </w:rPr>
              <w:t>.</w:t>
            </w:r>
            <w:r>
              <w:rPr>
                <w:rFonts w:ascii="宋体" w:cs="宋体" w:hint="eastAsia"/>
                <w:color w:val="000000"/>
                <w:sz w:val="16"/>
                <w:szCs w:val="16"/>
              </w:rPr>
              <w:t>81</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30208</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取暖费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7</w:t>
            </w:r>
            <w:r>
              <w:rPr>
                <w:rFonts w:ascii="宋体" w:cs="宋体" w:hint="eastAsia"/>
                <w:color w:val="000000"/>
                <w:sz w:val="16"/>
                <w:szCs w:val="16"/>
                <w:lang w:val="en-US" w:eastAsia="zh-CN"/>
              </w:rPr>
              <w:t>.</w:t>
            </w:r>
            <w:r>
              <w:rPr>
                <w:rFonts w:ascii="宋体" w:cs="宋体" w:hint="eastAsia"/>
                <w:color w:val="000000"/>
                <w:sz w:val="16"/>
                <w:szCs w:val="16"/>
              </w:rPr>
              <w:t>1</w:t>
            </w:r>
            <w:r>
              <w:rPr>
                <w:rFonts w:ascii="宋体" w:cs="宋体" w:hint="eastAsia"/>
                <w:color w:val="000000"/>
                <w:sz w:val="16"/>
                <w:szCs w:val="16"/>
                <w:lang w:val="en-US" w:eastAsia="zh-CN"/>
              </w:rPr>
              <w:t>4</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31006</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大型修缮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30111</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公务员医疗补助缴费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18</w:t>
            </w:r>
            <w:r>
              <w:rPr>
                <w:rFonts w:ascii="宋体" w:cs="宋体" w:hint="eastAsia"/>
                <w:color w:val="000000"/>
                <w:sz w:val="16"/>
                <w:szCs w:val="16"/>
                <w:lang w:val="en-US" w:eastAsia="zh-CN"/>
              </w:rPr>
              <w:t>.</w:t>
            </w:r>
            <w:r>
              <w:rPr>
                <w:rFonts w:ascii="宋体" w:cs="宋体" w:hint="eastAsia"/>
                <w:color w:val="000000"/>
                <w:sz w:val="16"/>
                <w:szCs w:val="16"/>
              </w:rPr>
              <w:t>6</w:t>
            </w:r>
            <w:r>
              <w:rPr>
                <w:rFonts w:ascii="宋体" w:cs="宋体" w:hint="eastAsia"/>
                <w:color w:val="000000"/>
                <w:sz w:val="16"/>
                <w:szCs w:val="16"/>
                <w:lang w:val="en-US" w:eastAsia="zh-CN"/>
              </w:rPr>
              <w:t>2</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30209</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物业管理费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31007</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信息网络及软件购置更新</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30112</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其他社会保障缴费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3</w:t>
            </w:r>
            <w:r>
              <w:rPr>
                <w:rFonts w:ascii="宋体" w:cs="宋体" w:hint="eastAsia"/>
                <w:color w:val="000000"/>
                <w:sz w:val="16"/>
                <w:szCs w:val="16"/>
                <w:lang w:val="en-US" w:eastAsia="zh-CN"/>
              </w:rPr>
              <w:t>.</w:t>
            </w:r>
            <w:r>
              <w:rPr>
                <w:rFonts w:ascii="宋体" w:cs="宋体" w:hint="eastAsia"/>
                <w:color w:val="000000"/>
                <w:sz w:val="16"/>
                <w:szCs w:val="16"/>
              </w:rPr>
              <w:t>53</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30211</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差旅费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lang w:val="en-US" w:eastAsia="zh-CN"/>
              </w:rPr>
              <w:t>0.</w:t>
            </w:r>
            <w:r>
              <w:rPr>
                <w:rFonts w:ascii="宋体" w:cs="宋体" w:hint="eastAsia"/>
                <w:color w:val="000000"/>
                <w:sz w:val="16"/>
                <w:szCs w:val="16"/>
              </w:rPr>
              <w:t>6</w:t>
            </w:r>
            <w:r>
              <w:rPr>
                <w:rFonts w:ascii="宋体" w:cs="宋体" w:hint="eastAsia"/>
                <w:color w:val="000000"/>
                <w:sz w:val="16"/>
                <w:szCs w:val="16"/>
                <w:lang w:val="en-US" w:eastAsia="zh-CN"/>
              </w:rPr>
              <w:t>9</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31008</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物资储备</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30113</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住房公积金</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20</w:t>
            </w:r>
            <w:r>
              <w:rPr>
                <w:rFonts w:ascii="宋体" w:cs="宋体" w:hint="eastAsia"/>
                <w:color w:val="000000"/>
                <w:sz w:val="16"/>
                <w:szCs w:val="16"/>
                <w:lang w:val="en-US" w:eastAsia="zh-CN"/>
              </w:rPr>
              <w:t>.</w:t>
            </w:r>
            <w:r>
              <w:rPr>
                <w:rFonts w:ascii="宋体" w:cs="宋体" w:hint="eastAsia"/>
                <w:color w:val="000000"/>
                <w:sz w:val="16"/>
                <w:szCs w:val="16"/>
              </w:rPr>
              <w:t>2</w:t>
            </w:r>
            <w:r>
              <w:rPr>
                <w:rFonts w:ascii="宋体" w:cs="宋体" w:hint="eastAsia"/>
                <w:color w:val="000000"/>
                <w:sz w:val="16"/>
                <w:szCs w:val="16"/>
                <w:lang w:val="en-US" w:eastAsia="zh-CN"/>
              </w:rPr>
              <w:t>7</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30212</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因公出国（境）费用</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31009</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土地补偿</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30114</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医疗费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30213</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维修（护）费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31010</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安置补助</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30199</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其他工资福利支出</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30214</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租赁费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31011</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地上附着物和青苗补偿</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对个人和家庭的补助</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28</w:t>
            </w:r>
            <w:r>
              <w:rPr>
                <w:rFonts w:ascii="宋体" w:cs="宋体" w:hint="eastAsia"/>
                <w:color w:val="000000"/>
                <w:sz w:val="16"/>
                <w:szCs w:val="16"/>
                <w:lang w:val="en-US" w:eastAsia="zh-CN"/>
              </w:rPr>
              <w:t>.</w:t>
            </w:r>
            <w:r>
              <w:rPr>
                <w:rFonts w:ascii="宋体" w:cs="宋体" w:hint="eastAsia"/>
                <w:color w:val="000000"/>
                <w:sz w:val="16"/>
                <w:szCs w:val="16"/>
              </w:rPr>
              <w:t>0</w:t>
            </w:r>
            <w:r>
              <w:rPr>
                <w:rFonts w:ascii="宋体" w:cs="宋体" w:hint="eastAsia"/>
                <w:color w:val="000000"/>
                <w:sz w:val="16"/>
                <w:szCs w:val="16"/>
                <w:lang w:val="en-US" w:eastAsia="zh-CN"/>
              </w:rPr>
              <w:t>7</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30215</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会议费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31012</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拆迁补偿</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30301</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离休费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30216</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培训费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31013</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公务用车购置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30302</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退休费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26</w:t>
            </w:r>
            <w:r>
              <w:rPr>
                <w:rFonts w:ascii="宋体" w:cs="宋体" w:hint="eastAsia"/>
                <w:color w:val="000000"/>
                <w:sz w:val="16"/>
                <w:szCs w:val="16"/>
                <w:lang w:val="en-US" w:eastAsia="zh-CN"/>
              </w:rPr>
              <w:t>.</w:t>
            </w:r>
            <w:r>
              <w:rPr>
                <w:rFonts w:ascii="宋体" w:cs="宋体" w:hint="eastAsia"/>
                <w:color w:val="000000"/>
                <w:sz w:val="16"/>
                <w:szCs w:val="16"/>
              </w:rPr>
              <w:t>48</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30217</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公务接待费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31019</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其他交通工具购置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30303</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退职（役）费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30218</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专用材料费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31021</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文物和陈列品购置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30304</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抚恤金</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30224</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被装购置费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31022</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无形资产购置</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30305</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生活补助</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1</w:t>
            </w:r>
            <w:r>
              <w:rPr>
                <w:rFonts w:ascii="宋体" w:cs="宋体" w:hint="eastAsia"/>
                <w:color w:val="000000"/>
                <w:sz w:val="16"/>
                <w:szCs w:val="16"/>
                <w:lang w:val="en-US" w:eastAsia="zh-CN"/>
              </w:rPr>
              <w:t>.</w:t>
            </w:r>
            <w:r>
              <w:rPr>
                <w:rFonts w:ascii="宋体" w:cs="宋体" w:hint="eastAsia"/>
                <w:color w:val="000000"/>
                <w:sz w:val="16"/>
                <w:szCs w:val="16"/>
              </w:rPr>
              <w:t>45</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30225</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专用燃料费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31099</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其他资本性支出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30306</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救济费</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30226</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劳务费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17</w:t>
            </w:r>
            <w:r>
              <w:rPr>
                <w:rFonts w:ascii="宋体" w:cs="宋体" w:hint="eastAsia"/>
                <w:color w:val="000000"/>
                <w:sz w:val="16"/>
                <w:szCs w:val="16"/>
                <w:lang w:val="en-US" w:eastAsia="zh-CN"/>
              </w:rPr>
              <w:t>.</w:t>
            </w:r>
            <w:r>
              <w:rPr>
                <w:rFonts w:ascii="宋体" w:cs="宋体" w:hint="eastAsia"/>
                <w:color w:val="000000"/>
                <w:sz w:val="16"/>
                <w:szCs w:val="16"/>
              </w:rPr>
              <w:t>5</w:t>
            </w:r>
            <w:r>
              <w:rPr>
                <w:rFonts w:ascii="宋体" w:cs="宋体" w:hint="eastAsia"/>
                <w:color w:val="000000"/>
                <w:sz w:val="16"/>
                <w:szCs w:val="16"/>
                <w:lang w:val="en-US" w:eastAsia="zh-CN"/>
              </w:rPr>
              <w:t>2</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399</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其他支出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30307</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医疗费补助</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30227</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委托业务费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39906</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赠与</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30308</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助学金</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30228</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工会经费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1</w:t>
            </w:r>
            <w:r>
              <w:rPr>
                <w:rFonts w:ascii="宋体" w:cs="宋体" w:hint="eastAsia"/>
                <w:color w:val="000000"/>
                <w:sz w:val="16"/>
                <w:szCs w:val="16"/>
                <w:lang w:val="en-US" w:eastAsia="zh-CN"/>
              </w:rPr>
              <w:t>.</w:t>
            </w:r>
            <w:r>
              <w:rPr>
                <w:rFonts w:ascii="宋体" w:cs="宋体" w:hint="eastAsia"/>
                <w:color w:val="000000"/>
                <w:sz w:val="16"/>
                <w:szCs w:val="16"/>
              </w:rPr>
              <w:t>68</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39907</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国家赔偿费用支出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0"/>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30309</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奖励金</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lang w:val="en-US" w:eastAsia="zh-CN"/>
              </w:rPr>
              <w:t>0.</w:t>
            </w:r>
            <w:r>
              <w:rPr>
                <w:rFonts w:ascii="宋体" w:cs="宋体" w:hint="eastAsia"/>
                <w:color w:val="000000"/>
                <w:sz w:val="16"/>
                <w:szCs w:val="16"/>
              </w:rPr>
              <w:t>13</w:t>
            </w: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30229</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福利费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rPr>
              <w:t>3</w:t>
            </w:r>
            <w:r>
              <w:rPr>
                <w:rFonts w:ascii="宋体" w:cs="宋体" w:hint="eastAsia"/>
                <w:color w:val="000000"/>
                <w:sz w:val="16"/>
                <w:szCs w:val="16"/>
                <w:lang w:val="en-US" w:eastAsia="zh-CN"/>
              </w:rPr>
              <w:t>.</w:t>
            </w:r>
            <w:r>
              <w:rPr>
                <w:rFonts w:ascii="宋体" w:cs="宋体" w:hint="eastAsia"/>
                <w:color w:val="000000"/>
                <w:sz w:val="16"/>
                <w:szCs w:val="16"/>
              </w:rPr>
              <w:t>0</w:t>
            </w:r>
            <w:r>
              <w:rPr>
                <w:rFonts w:ascii="宋体" w:cs="宋体" w:hint="eastAsia"/>
                <w:color w:val="000000"/>
                <w:sz w:val="16"/>
                <w:szCs w:val="16"/>
                <w:lang w:val="en-US" w:eastAsia="zh-CN"/>
              </w:rPr>
              <w:t>3</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39908</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对民间非营利组织和群众性自治组织补贴</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30310</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个人农业生产补贴</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30231</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公务用车运行维护费</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39999</w:t>
            </w: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其他支出</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30399</w:t>
            </w: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其他对个人和家庭的补助支出</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30239</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其他交通费用</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238"/>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30240</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税金及附加费用</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425"/>
        </w:trPr>
        <w:tc>
          <w:tcPr>
            <w:tcW w:w="55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159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p>
        </w:tc>
        <w:tc>
          <w:tcPr>
            <w:tcW w:w="47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30299</w:t>
            </w:r>
          </w:p>
        </w:tc>
        <w:tc>
          <w:tcPr>
            <w:tcW w:w="176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textAlignment w:val="center"/>
              <w:rPr>
                <w:rFonts w:ascii="宋体" w:cs="宋体"/>
                <w:color w:val="000000"/>
                <w:sz w:val="16"/>
                <w:szCs w:val="16"/>
              </w:rPr>
            </w:pPr>
            <w:r>
              <w:rPr>
                <w:rFonts w:ascii="宋体" w:cs="宋体" w:hint="eastAsia"/>
                <w:color w:val="000000"/>
                <w:kern w:val="0"/>
                <w:sz w:val="16"/>
                <w:szCs w:val="16"/>
              </w:rPr>
              <w:t xml:space="preserve">  其他商品和服务支出</w:t>
            </w:r>
          </w:p>
        </w:tc>
        <w:tc>
          <w:tcPr>
            <w:tcW w:w="73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16"/>
                <w:szCs w:val="16"/>
              </w:rPr>
            </w:pPr>
            <w:r>
              <w:rPr>
                <w:rFonts w:ascii="宋体" w:cs="宋体" w:hint="eastAsia"/>
                <w:color w:val="000000"/>
                <w:sz w:val="16"/>
                <w:szCs w:val="16"/>
                <w:lang w:val="en-US" w:eastAsia="zh-CN"/>
              </w:rPr>
              <w:t>0.0</w:t>
            </w:r>
            <w:r>
              <w:rPr>
                <w:rFonts w:ascii="宋体" w:cs="宋体" w:hint="eastAsia"/>
                <w:color w:val="000000"/>
                <w:sz w:val="16"/>
                <w:szCs w:val="16"/>
              </w:rPr>
              <w:t>5</w:t>
            </w:r>
          </w:p>
        </w:tc>
        <w:tc>
          <w:tcPr>
            <w:tcW w:w="55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178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left"/>
              <w:rPr>
                <w:rFonts w:ascii="宋体" w:cs="宋体"/>
                <w:color w:val="000000"/>
                <w:sz w:val="16"/>
                <w:szCs w:val="16"/>
              </w:rPr>
            </w:pP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cs="宋体"/>
                <w:color w:val="000000"/>
                <w:sz w:val="20"/>
                <w:szCs w:val="20"/>
              </w:rPr>
            </w:pPr>
          </w:p>
        </w:tc>
      </w:tr>
      <w:tr>
        <w:trPr>
          <w:trHeight w:val="317"/>
        </w:trPr>
        <w:tc>
          <w:tcPr>
            <w:tcW w:w="2157" w:type="dxa"/>
            <w:gridSpan w:val="2"/>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center"/>
              <w:textAlignment w:val="center"/>
              <w:rPr>
                <w:rFonts w:ascii="宋体" w:cs="宋体"/>
                <w:color w:val="000000"/>
                <w:sz w:val="16"/>
                <w:szCs w:val="16"/>
              </w:rPr>
            </w:pPr>
            <w:r>
              <w:rPr>
                <w:rFonts w:ascii="宋体" w:cs="宋体" w:hint="eastAsia"/>
                <w:color w:val="000000"/>
                <w:kern w:val="0"/>
                <w:sz w:val="16"/>
                <w:szCs w:val="16"/>
              </w:rPr>
              <w:t>人员经费合计</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ind w:right="80"/>
              <w:jc w:val="right"/>
              <w:rPr>
                <w:rFonts w:ascii="宋体" w:eastAsia="宋体" w:cs="宋体" w:hint="eastAsia"/>
                <w:color w:val="000000"/>
                <w:sz w:val="16"/>
                <w:szCs w:val="16"/>
                <w:lang w:eastAsia="zh-CN"/>
              </w:rPr>
            </w:pPr>
            <w:r>
              <w:rPr>
                <w:rFonts w:ascii="宋体" w:cs="宋体" w:hint="eastAsia"/>
                <w:color w:val="000000"/>
                <w:sz w:val="16"/>
                <w:szCs w:val="16"/>
              </w:rPr>
              <w:t>345</w:t>
            </w:r>
            <w:r>
              <w:rPr>
                <w:rFonts w:ascii="宋体" w:cs="宋体" w:hint="eastAsia"/>
                <w:color w:val="000000"/>
                <w:sz w:val="16"/>
                <w:szCs w:val="16"/>
                <w:lang w:val="en-US" w:eastAsia="zh-CN"/>
              </w:rPr>
              <w:t>.</w:t>
            </w:r>
            <w:r>
              <w:rPr>
                <w:rFonts w:ascii="宋体" w:cs="宋体" w:hint="eastAsia"/>
                <w:color w:val="000000"/>
                <w:sz w:val="16"/>
                <w:szCs w:val="16"/>
              </w:rPr>
              <w:t>8</w:t>
            </w:r>
            <w:r>
              <w:rPr>
                <w:rFonts w:ascii="宋体" w:cs="宋体" w:hint="eastAsia"/>
                <w:color w:val="000000"/>
                <w:sz w:val="16"/>
                <w:szCs w:val="16"/>
                <w:lang w:val="en-US" w:eastAsia="zh-CN"/>
              </w:rPr>
              <w:t>3</w:t>
            </w:r>
          </w:p>
        </w:tc>
        <w:tc>
          <w:tcPr>
            <w:tcW w:w="5326" w:type="dxa"/>
            <w:gridSpan w:val="5"/>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center"/>
              <w:textAlignment w:val="center"/>
              <w:rPr>
                <w:rFonts w:ascii="宋体" w:cs="宋体"/>
                <w:color w:val="000000"/>
                <w:sz w:val="16"/>
                <w:szCs w:val="16"/>
              </w:rPr>
            </w:pPr>
            <w:r>
              <w:rPr>
                <w:rFonts w:ascii="宋体" w:cs="宋体" w:hint="eastAsia"/>
                <w:color w:val="000000"/>
                <w:kern w:val="0"/>
                <w:sz w:val="16"/>
                <w:szCs w:val="16"/>
              </w:rPr>
              <w:t>公用经费合计</w:t>
            </w:r>
          </w:p>
        </w:tc>
        <w:tc>
          <w:tcPr>
            <w:tcW w:w="857"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napToGrid w:val="0"/>
              <w:spacing w:after="0" w:line="240" w:lineRule="auto"/>
              <w:jc w:val="right"/>
              <w:rPr>
                <w:rFonts w:ascii="宋体" w:eastAsia="宋体" w:cs="宋体" w:hint="eastAsia"/>
                <w:color w:val="000000"/>
                <w:sz w:val="16"/>
                <w:szCs w:val="16"/>
                <w:lang w:eastAsia="zh-CN"/>
              </w:rPr>
            </w:pPr>
            <w:r>
              <w:rPr>
                <w:rFonts w:ascii="宋体" w:cs="宋体" w:hint="eastAsia"/>
                <w:color w:val="000000"/>
                <w:sz w:val="16"/>
                <w:szCs w:val="16"/>
              </w:rPr>
              <w:t>35</w:t>
            </w:r>
            <w:r>
              <w:rPr>
                <w:rFonts w:ascii="宋体" w:cs="宋体" w:hint="eastAsia"/>
                <w:color w:val="000000"/>
                <w:sz w:val="16"/>
                <w:szCs w:val="16"/>
                <w:lang w:val="en-US" w:eastAsia="zh-CN"/>
              </w:rPr>
              <w:t>.</w:t>
            </w:r>
            <w:r>
              <w:rPr>
                <w:rFonts w:ascii="宋体" w:cs="宋体" w:hint="eastAsia"/>
                <w:color w:val="000000"/>
                <w:sz w:val="16"/>
                <w:szCs w:val="16"/>
              </w:rPr>
              <w:t>9</w:t>
            </w:r>
            <w:r>
              <w:rPr>
                <w:rFonts w:ascii="宋体" w:cs="宋体" w:hint="eastAsia"/>
                <w:color w:val="000000"/>
                <w:sz w:val="16"/>
                <w:szCs w:val="16"/>
                <w:lang w:val="en-US" w:eastAsia="zh-CN"/>
              </w:rPr>
              <w:t>7</w:t>
            </w:r>
          </w:p>
        </w:tc>
      </w:tr>
      <w:tr>
        <w:trPr>
          <w:trHeight w:val="277"/>
        </w:trPr>
        <w:tc>
          <w:tcPr>
            <w:tcW w:w="9180" w:type="dxa"/>
            <w:gridSpan w:val="9"/>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left"/>
              <w:textAlignment w:val="center"/>
              <w:rPr>
                <w:rFonts w:ascii="宋体" w:cs="宋体"/>
                <w:color w:val="000000"/>
                <w:sz w:val="20"/>
                <w:szCs w:val="20"/>
              </w:rPr>
            </w:pPr>
            <w:r>
              <w:rPr>
                <w:rFonts w:ascii="宋体" w:cs="宋体" w:hint="eastAsia"/>
                <w:color w:val="000000"/>
                <w:kern w:val="0"/>
                <w:sz w:val="20"/>
                <w:szCs w:val="20"/>
              </w:rPr>
              <w:t xml:space="preserve">注：本表反映部门本年度一般公共预算财政拨款基本支出明细情况。        </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center"/>
        <w:tblW w:w="88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158"/>
        <w:gridCol w:w="1527"/>
        <w:gridCol w:w="1528"/>
        <w:gridCol w:w="1530"/>
        <w:gridCol w:w="1530"/>
        <w:gridCol w:w="1527"/>
      </w:tblGrid>
      <w:tr>
        <w:trPr>
          <w:trHeight w:val="584"/>
        </w:trPr>
        <w:tc>
          <w:tcPr>
            <w:tcW w:w="8800" w:type="dxa"/>
            <w:gridSpan w:val="6"/>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黑体" w:eastAsia="黑体" w:cs="黑体"/>
                <w:color w:val="000000"/>
                <w:sz w:val="40"/>
                <w:szCs w:val="40"/>
              </w:rPr>
            </w:pPr>
            <w:r>
              <w:rPr>
                <w:rFonts w:ascii="黑体" w:eastAsia="黑体" w:cs="黑体" w:hint="eastAsia"/>
                <w:color w:val="000000"/>
                <w:kern w:val="0"/>
                <w:sz w:val="40"/>
                <w:szCs w:val="40"/>
              </w:rPr>
              <w:t>一般公共预算财政拨款“</w:t>
            </w:r>
            <w:r>
              <w:rPr>
                <w:sz w:val="44"/>
              </w:rPr>
              <mc:AlternateContent>
                <mc:Choice Requires="wps">
                  <w:drawing>
                    <wp:anchor distT="0" distB="0" distL="91438" distR="91438" simplePos="0" relativeHeight="99" behindDoc="0" locked="1" layoutInCell="1" hidden="0" allowOverlap="1">
                      <wp:simplePos x="0" y="0"/>
                      <wp:positionH relativeFrom="column">
                        <wp:posOffset>-1050925</wp:posOffset>
                      </wp:positionH>
                      <wp:positionV relativeFrom="page">
                        <wp:posOffset>-1029971</wp:posOffset>
                      </wp:positionV>
                      <wp:extent cx="3088639" cy="523242"/>
                      <wp:effectExtent l="0" t="0" r="0" b="0"/>
                      <wp:wrapNone/>
                      <wp:docPr id="90" name="组合"/>
                      <wp:cNvGraphicFramePr>
                        <a:graphicFrameLocks noChangeAspect="0"/>
                      </wp:cNvGraphicFramePr>
                      <a:graphic>
                        <a:graphicData uri="http://schemas.microsoft.com/office/word/2010/wordprocessingGroup">
                          <wpg:wgp>
                            <wpg:cNvPr id="91" name="组合 91"/>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92" name="_s96 92"/>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93" name="_s97 93"/>
                              <wps:cNvSpPr/>
                              <wps:spPr>
                                <a:xfrm rot="0">
                                  <a:off x="9526" y="103505"/>
                                  <a:ext cx="3008612" cy="419736"/>
                                </a:xfrm>
                                <a:prstGeom prst="rect"/>
                                <a:solidFill>
                                  <a:srgbClr val="AD002D"/>
                                </a:solidFill>
                                <a:ln w="25400" cmpd="sng" cap="flat">
                                  <a:solidFill>
                                    <a:srgbClr val="AF7621"/>
                                  </a:solidFill>
                                  <a:prstDash val="solid"/>
                                  <a:miter/>
                                </a:ln>
                              </wps:spPr>
                              <wps:txbx id="94">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95" o:spid="_x0000_s95" coordorigin="-29,475" coordsize="4863,824" style="position:absolute;margin-left:-82.74999pt;margin-top:-81.10013pt;width:243.19995pt;height:41.200157pt;z-index:99;mso-position-horizontal:absolute;mso-position-vertical:absolute;mso-position-vertical-relative:page;mso-wrap-distance-left:7.19989pt;mso-wrap-distance-right:7.19989pt;">
                      <v:rect type="#_x0000_t1" id="_s96" o:spid="_x0000_s96" style="position:absolute;left:-29;top:475;width:4863;height:692;" fillcolor="#D8D8D8" stroked="f">
                        <v:stroke color="#000000"/>
                      </v:rect>
                      <v:rect type="#_x0000_t1" id="_s97" o:spid="_x0000_s97" style="position:absolute;left:-14;top:638;width:4737;height:661;mso-wrap-style:square;" fillcolor="#AD002D" stroked="t" strokeweight="2.0pt">
                        <v:textbox id="871"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三公”经费支出决算表</w:t>
            </w:r>
          </w:p>
        </w:tc>
      </w:tr>
      <w:tr>
        <w:trPr>
          <w:trHeight w:val="347"/>
        </w:trPr>
        <w:tc>
          <w:tcPr>
            <w:tcW w:w="1158"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 w:val="20"/>
                <w:szCs w:val="20"/>
              </w:rPr>
            </w:pPr>
          </w:p>
        </w:tc>
        <w:tc>
          <w:tcPr>
            <w:tcW w:w="1527"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 w:val="20"/>
                <w:szCs w:val="20"/>
              </w:rPr>
            </w:pPr>
          </w:p>
        </w:tc>
        <w:tc>
          <w:tcPr>
            <w:tcW w:w="1528"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 w:val="20"/>
                <w:szCs w:val="20"/>
              </w:rPr>
            </w:pPr>
          </w:p>
        </w:tc>
        <w:tc>
          <w:tcPr>
            <w:tcW w:w="1530"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 w:val="20"/>
                <w:szCs w:val="20"/>
              </w:rPr>
            </w:pPr>
          </w:p>
        </w:tc>
        <w:tc>
          <w:tcPr>
            <w:tcW w:w="1530"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 w:val="20"/>
                <w:szCs w:val="20"/>
              </w:rPr>
            </w:pPr>
          </w:p>
        </w:tc>
        <w:tc>
          <w:tcPr>
            <w:tcW w:w="1527"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right"/>
              <w:textAlignment w:val="center"/>
              <w:rPr>
                <w:rFonts w:ascii="宋体" w:cs="宋体"/>
                <w:color w:val="000000"/>
                <w:sz w:val="20"/>
                <w:szCs w:val="20"/>
              </w:rPr>
            </w:pPr>
            <w:r>
              <w:rPr>
                <w:rFonts w:ascii="宋体" w:cs="宋体" w:hint="eastAsia"/>
                <w:color w:val="000000"/>
                <w:kern w:val="0"/>
                <w:sz w:val="20"/>
                <w:szCs w:val="20"/>
              </w:rPr>
              <w:t>公开07表</w:t>
            </w:r>
          </w:p>
        </w:tc>
      </w:tr>
      <w:tr>
        <w:trPr>
          <w:trHeight w:val="347"/>
        </w:trPr>
        <w:tc>
          <w:tcPr>
            <w:tcW w:w="7273" w:type="dxa"/>
            <w:gridSpan w:val="5"/>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left"/>
              <w:textAlignment w:val="center"/>
              <w:rPr>
                <w:rFonts w:ascii="宋体" w:cs="宋体"/>
                <w:color w:val="000000"/>
                <w:sz w:val="20"/>
                <w:szCs w:val="20"/>
              </w:rPr>
            </w:pPr>
            <w:r>
              <w:rPr>
                <w:rFonts w:ascii="宋体" w:cs="宋体" w:hint="eastAsia"/>
                <w:color w:val="000000"/>
                <w:kern w:val="0"/>
                <w:sz w:val="20"/>
                <w:szCs w:val="20"/>
              </w:rPr>
              <w:t>部门：唐山市丰南区文化馆</w:t>
            </w:r>
          </w:p>
        </w:tc>
        <w:tc>
          <w:tcPr>
            <w:tcW w:w="1527"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right"/>
              <w:textAlignment w:val="center"/>
              <w:rPr>
                <w:rFonts w:ascii="宋体" w:cs="宋体"/>
                <w:color w:val="000000"/>
                <w:sz w:val="20"/>
                <w:szCs w:val="20"/>
              </w:rPr>
            </w:pPr>
            <w:r>
              <w:rPr>
                <w:rFonts w:ascii="宋体" w:cs="宋体" w:hint="eastAsia"/>
                <w:color w:val="000000"/>
                <w:kern w:val="0"/>
                <w:sz w:val="20"/>
                <w:szCs w:val="20"/>
              </w:rPr>
              <w:t>金额单位：</w:t>
            </w:r>
            <w:r>
              <w:rPr>
                <w:rFonts w:ascii="宋体" w:cs="宋体" w:hint="eastAsia"/>
                <w:color w:val="000000"/>
                <w:kern w:val="0"/>
                <w:sz w:val="20"/>
                <w:szCs w:val="20"/>
                <w:lang w:eastAsia="zh-CN"/>
              </w:rPr>
              <w:t>万</w:t>
            </w:r>
            <w:r>
              <w:rPr>
                <w:rFonts w:ascii="宋体" w:cs="宋体" w:hint="eastAsia"/>
                <w:color w:val="000000"/>
                <w:kern w:val="0"/>
                <w:sz w:val="20"/>
                <w:szCs w:val="20"/>
              </w:rPr>
              <w:t>元</w:t>
            </w:r>
          </w:p>
        </w:tc>
      </w:tr>
      <w:tr>
        <w:trPr>
          <w:trHeight w:val="482"/>
        </w:trPr>
        <w:tc>
          <w:tcPr>
            <w:tcW w:w="880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预算数</w:t>
            </w:r>
          </w:p>
        </w:tc>
      </w:tr>
      <w:tr>
        <w:trPr>
          <w:trHeight w:val="435"/>
        </w:trPr>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合计</w:t>
            </w:r>
          </w:p>
        </w:tc>
        <w:tc>
          <w:tcPr>
            <w:tcW w:w="152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因公出国（境）费</w:t>
            </w:r>
          </w:p>
        </w:tc>
        <w:tc>
          <w:tcPr>
            <w:tcW w:w="458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公务用车购置及运行费</w:t>
            </w:r>
          </w:p>
        </w:tc>
        <w:tc>
          <w:tcPr>
            <w:tcW w:w="152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公务接待费</w:t>
            </w:r>
          </w:p>
        </w:tc>
      </w:tr>
      <w:tr>
        <w:trPr>
          <w:trHeight w:val="686"/>
        </w:trPr>
        <w:tc>
          <w:tcPr>
            <w:tcW w:w="1158"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527"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小计</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公务用车购置费</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公务用车运行费</w:t>
            </w:r>
          </w:p>
        </w:tc>
        <w:tc>
          <w:tcPr>
            <w:tcW w:w="1527"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r>
      <w:tr>
        <w:trPr>
          <w:trHeight w:val="435"/>
        </w:trPr>
        <w:tc>
          <w:tcPr>
            <w:tcW w:w="11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w:t>
            </w: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2</w:t>
            </w: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3</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4</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5</w:t>
            </w: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6</w:t>
            </w:r>
          </w:p>
        </w:tc>
      </w:tr>
      <w:tr>
        <w:trPr>
          <w:trHeight w:val="435"/>
        </w:trPr>
        <w:tc>
          <w:tcPr>
            <w:tcW w:w="11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498"/>
        </w:trPr>
        <w:tc>
          <w:tcPr>
            <w:tcW w:w="880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决算数</w:t>
            </w:r>
          </w:p>
        </w:tc>
      </w:tr>
      <w:tr>
        <w:trPr>
          <w:trHeight w:val="435"/>
        </w:trPr>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合计</w:t>
            </w:r>
          </w:p>
        </w:tc>
        <w:tc>
          <w:tcPr>
            <w:tcW w:w="152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因公出国（境）费</w:t>
            </w:r>
          </w:p>
        </w:tc>
        <w:tc>
          <w:tcPr>
            <w:tcW w:w="458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公务用车购置及运行费</w:t>
            </w:r>
          </w:p>
        </w:tc>
        <w:tc>
          <w:tcPr>
            <w:tcW w:w="152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公务接待费</w:t>
            </w:r>
          </w:p>
        </w:tc>
      </w:tr>
      <w:tr>
        <w:trPr>
          <w:trHeight w:val="672"/>
        </w:trPr>
        <w:tc>
          <w:tcPr>
            <w:tcW w:w="1158"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527"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小计</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公务用车购置费</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公务用车运行费</w:t>
            </w:r>
          </w:p>
        </w:tc>
        <w:tc>
          <w:tcPr>
            <w:tcW w:w="1527"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r>
      <w:tr>
        <w:trPr>
          <w:trHeight w:val="435"/>
        </w:trPr>
        <w:tc>
          <w:tcPr>
            <w:tcW w:w="11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7</w:t>
            </w: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8</w:t>
            </w: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9</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10</w:t>
            </w: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11</w:t>
            </w: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12</w:t>
            </w:r>
          </w:p>
        </w:tc>
      </w:tr>
      <w:tr>
        <w:trPr>
          <w:trHeight w:val="435"/>
        </w:trPr>
        <w:tc>
          <w:tcPr>
            <w:tcW w:w="11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782"/>
        </w:trPr>
        <w:tc>
          <w:tcPr>
            <w:tcW w:w="8800" w:type="dxa"/>
            <w:gridSpan w:val="6"/>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left"/>
              <w:textAlignment w:val="center"/>
              <w:rPr>
                <w:rFonts w:ascii="宋体" w:cs="宋体" w:hint="eastAsia"/>
                <w:color w:val="000000"/>
                <w:kern w:val="0"/>
                <w:szCs w:val="21"/>
              </w:rPr>
            </w:pPr>
            <w:r>
              <w:rPr>
                <w:rFonts w:ascii="宋体" w:cs="宋体" w:hint="eastAsia"/>
                <w:color w:val="000000"/>
                <w:kern w:val="0"/>
                <w:szCs w:val="21"/>
              </w:rPr>
              <w:t>注：</w:t>
            </w:r>
            <w:r>
              <w:rPr>
                <w:rFonts w:ascii="宋体" w:cs="宋体" w:hint="eastAsia"/>
                <w:color w:val="000000"/>
                <w:kern w:val="0"/>
                <w:szCs w:val="21"/>
                <w:lang w:val="en-US" w:eastAsia="zh-CN"/>
              </w:rPr>
              <w:t xml:space="preserve">1.本表反映部门本年度 “三公”经费支出预决算情况。 </w:t>
            </w:r>
          </w:p>
          <w:p>
            <w:pPr>
              <w:widowControl/>
              <w:adjustRightInd w:val="0"/>
              <w:snapToGrid w:val="0"/>
              <w:spacing w:after="0" w:line="240" w:lineRule="auto"/>
              <w:ind w:firstLineChars="200" w:firstLine="420"/>
              <w:jc w:val="left"/>
              <w:textAlignment w:val="center"/>
              <w:rPr>
                <w:rFonts w:ascii="宋体" w:cs="宋体"/>
                <w:color w:val="000000"/>
                <w:szCs w:val="21"/>
              </w:rPr>
            </w:pPr>
            <w:r>
              <w:rPr>
                <w:rFonts w:ascii="宋体" w:cs="宋体" w:hint="eastAsia"/>
                <w:color w:val="000000"/>
                <w:kern w:val="0"/>
                <w:szCs w:val="21"/>
                <w:lang w:val="en-US" w:eastAsia="zh-CN"/>
              </w:rPr>
              <w:t>2.</w:t>
            </w:r>
            <w:r>
              <w:rPr>
                <w:rFonts w:ascii="宋体" w:cs="宋体" w:hint="eastAsia"/>
                <w:color w:val="000000"/>
                <w:kern w:val="0"/>
                <w:szCs w:val="21"/>
                <w:lang w:eastAsia="zh-CN"/>
              </w:rPr>
              <w:t>此表无数据，空表列示。</w:t>
            </w:r>
            <w:r>
              <w:rPr>
                <w:rFonts w:ascii="宋体" w:cs="宋体" w:hint="eastAsia"/>
                <w:color w:val="000000"/>
                <w:kern w:val="0"/>
                <w:szCs w:val="21"/>
              </w:rPr>
              <w:t xml:space="preserve">       </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886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296"/>
        <w:gridCol w:w="191"/>
        <w:gridCol w:w="479"/>
        <w:gridCol w:w="669"/>
        <w:gridCol w:w="376"/>
        <w:gridCol w:w="1166"/>
        <w:gridCol w:w="840"/>
        <w:gridCol w:w="1191"/>
        <w:gridCol w:w="1192"/>
        <w:gridCol w:w="1192"/>
        <w:gridCol w:w="1268"/>
      </w:tblGrid>
      <w:tr>
        <w:trPr>
          <w:trHeight w:val="707"/>
        </w:trPr>
        <w:tc>
          <w:tcPr>
            <w:tcW w:w="8860" w:type="dxa"/>
            <w:gridSpan w:val="11"/>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黑体" w:eastAsia="黑体" w:cs="黑体"/>
                <w:color w:val="000000"/>
                <w:sz w:val="36"/>
                <w:szCs w:val="36"/>
              </w:rPr>
            </w:pPr>
            <w:r>
              <w:rPr>
                <w:rFonts w:ascii="黑体" w:eastAsia="黑体" w:cs="黑体" w:hint="eastAsia"/>
                <w:color w:val="000000"/>
                <w:kern w:val="0"/>
                <w:sz w:val="36"/>
                <w:szCs w:val="36"/>
              </w:rPr>
              <w:t>政府性基金预算财政拨款</w:t>
            </w:r>
            <w:r>
              <w:rPr>
                <w:sz w:val="44"/>
              </w:rPr>
              <mc:AlternateContent>
                <mc:Choice Requires="wps">
                  <w:drawing>
                    <wp:anchor distT="0" distB="0" distL="91438" distR="91438" simplePos="0" relativeHeight="101"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98" name="组合"/>
                      <wp:cNvGraphicFramePr>
                        <a:graphicFrameLocks noChangeAspect="0"/>
                      </wp:cNvGraphicFramePr>
                      <a:graphic>
                        <a:graphicData uri="http://schemas.microsoft.com/office/word/2010/wordprocessingGroup">
                          <wpg:wgp>
                            <wpg:cNvPr id="99" name="组合 99"/>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100" name="_s104 100"/>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01" name="_s105 101"/>
                              <wps:cNvSpPr/>
                              <wps:spPr>
                                <a:xfrm rot="0">
                                  <a:off x="8891" y="103505"/>
                                  <a:ext cx="3008613" cy="419736"/>
                                </a:xfrm>
                                <a:prstGeom prst="rect"/>
                                <a:solidFill>
                                  <a:srgbClr val="AD002D"/>
                                </a:solidFill>
                                <a:ln w="25400" cmpd="sng" cap="flat">
                                  <a:solidFill>
                                    <a:srgbClr val="AF7621"/>
                                  </a:solidFill>
                                  <a:prstDash val="solid"/>
                                  <a:miter/>
                                </a:ln>
                              </wps:spPr>
                              <wps:txbx id="102">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03" o:spid="_x0000_s103" coordorigin="-29,475" coordsize="4863,824" style="position:absolute;margin-left:-80.899994pt;margin-top:-81.10013pt;width:243.19995pt;height:41.200157pt;z-index:101;mso-position-horizontal:absolute;mso-position-vertical:absolute;mso-position-vertical-relative:page;mso-wrap-distance-left:7.19989pt;mso-wrap-distance-right:7.19989pt;">
                      <v:rect type="#_x0000_t1" id="_s104" o:spid="_x0000_s104" style="position:absolute;left:-29;top:475;width:4863;height:692;" fillcolor="#D8D8D8" stroked="f">
                        <v:stroke color="#000000"/>
                      </v:rect>
                      <v:rect type="#_x0000_t1" id="_s105" o:spid="_x0000_s105" style="position:absolute;left:-15;top:638;width:4737;height:661;mso-wrap-style:square;" fillcolor="#AD002D" stroked="t" strokeweight="2.0pt">
                        <v:textbox id="872"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36"/>
                <w:szCs w:val="36"/>
              </w:rPr>
              <w:t>收入支出决算表</w:t>
            </w:r>
          </w:p>
        </w:tc>
      </w:tr>
      <w:tr>
        <w:trPr>
          <w:trHeight w:val="315"/>
        </w:trPr>
        <w:tc>
          <w:tcPr>
            <w:tcW w:w="296"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91"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479"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669"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542" w:type="dxa"/>
            <w:gridSpan w:val="2"/>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840"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191"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192"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192"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268"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jc w:val="right"/>
              <w:textAlignment w:val="center"/>
              <w:rPr>
                <w:rFonts w:ascii="宋体" w:cs="宋体"/>
                <w:color w:val="000000"/>
                <w:szCs w:val="21"/>
              </w:rPr>
            </w:pPr>
            <w:r>
              <w:rPr>
                <w:rFonts w:ascii="宋体" w:cs="宋体" w:hint="eastAsia"/>
                <w:color w:val="000000"/>
                <w:kern w:val="0"/>
                <w:szCs w:val="21"/>
              </w:rPr>
              <w:t>公开08表</w:t>
            </w:r>
          </w:p>
        </w:tc>
      </w:tr>
      <w:tr>
        <w:trPr>
          <w:trHeight w:val="411"/>
        </w:trPr>
        <w:tc>
          <w:tcPr>
            <w:tcW w:w="3177" w:type="dxa"/>
            <w:gridSpan w:val="6"/>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jc w:val="left"/>
              <w:textAlignment w:val="center"/>
              <w:rPr>
                <w:rFonts w:ascii="宋体" w:cs="宋体"/>
                <w:color w:val="000000"/>
                <w:szCs w:val="21"/>
              </w:rPr>
            </w:pPr>
            <w:r>
              <w:rPr>
                <w:rFonts w:ascii="宋体" w:cs="宋体" w:hint="eastAsia"/>
                <w:color w:val="000000"/>
                <w:kern w:val="0"/>
                <w:szCs w:val="21"/>
              </w:rPr>
              <w:t>部门：唐山市丰南区文化馆</w:t>
            </w:r>
          </w:p>
        </w:tc>
        <w:tc>
          <w:tcPr>
            <w:tcW w:w="840"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191"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1192" w:type="dxa"/>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rPr>
                <w:rFonts w:ascii="Arial" w:cs="Arial" w:hAnsi="Arial"/>
                <w:color w:val="000000"/>
                <w:szCs w:val="21"/>
              </w:rPr>
            </w:pPr>
          </w:p>
        </w:tc>
        <w:tc>
          <w:tcPr>
            <w:tcW w:w="2460" w:type="dxa"/>
            <w:gridSpan w:val="2"/>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jc w:val="right"/>
              <w:textAlignment w:val="center"/>
              <w:rPr>
                <w:rFonts w:ascii="宋体" w:cs="宋体"/>
                <w:color w:val="000000"/>
                <w:szCs w:val="21"/>
              </w:rPr>
            </w:pPr>
            <w:r>
              <w:rPr>
                <w:rFonts w:ascii="宋体" w:cs="宋体" w:hint="eastAsia"/>
                <w:color w:val="000000"/>
                <w:kern w:val="0"/>
                <w:szCs w:val="21"/>
              </w:rPr>
              <w:t>金额单位：</w:t>
            </w:r>
            <w:r>
              <w:rPr>
                <w:rFonts w:ascii="宋体" w:cs="宋体" w:hint="eastAsia"/>
                <w:color w:val="000000"/>
                <w:kern w:val="0"/>
                <w:szCs w:val="21"/>
                <w:lang w:eastAsia="zh-CN"/>
              </w:rPr>
              <w:t>万</w:t>
            </w:r>
            <w:r>
              <w:rPr>
                <w:rFonts w:ascii="宋体" w:cs="宋体" w:hint="eastAsia"/>
                <w:color w:val="000000"/>
                <w:kern w:val="0"/>
                <w:szCs w:val="21"/>
              </w:rPr>
              <w:t>元</w:t>
            </w:r>
          </w:p>
        </w:tc>
      </w:tr>
      <w:tr>
        <w:trPr>
          <w:trHeight w:val="324"/>
        </w:trPr>
        <w:tc>
          <w:tcPr>
            <w:tcW w:w="20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项目</w:t>
            </w:r>
          </w:p>
        </w:tc>
        <w:tc>
          <w:tcPr>
            <w:tcW w:w="1166"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年初结转和结余</w:t>
            </w:r>
          </w:p>
        </w:tc>
        <w:tc>
          <w:tcPr>
            <w:tcW w:w="840"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本年收入</w:t>
            </w:r>
          </w:p>
        </w:tc>
        <w:tc>
          <w:tcPr>
            <w:tcW w:w="3575" w:type="dxa"/>
            <w:gridSpan w:val="3"/>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本年支出</w:t>
            </w:r>
          </w:p>
        </w:tc>
        <w:tc>
          <w:tcPr>
            <w:tcW w:w="1268" w:type="dxa"/>
            <w:vMerge w:val="restart"/>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年末结转和结余</w:t>
            </w:r>
          </w:p>
        </w:tc>
      </w:tr>
      <w:tr>
        <w:trPr>
          <w:trHeight w:val="324"/>
        </w:trPr>
        <w:tc>
          <w:tcPr>
            <w:tcW w:w="966" w:type="dxa"/>
            <w:gridSpan w:val="3"/>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功能分类科目编码</w:t>
            </w:r>
          </w:p>
        </w:tc>
        <w:tc>
          <w:tcPr>
            <w:tcW w:w="1045" w:type="dxa"/>
            <w:gridSpan w:val="2"/>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科目名称</w:t>
            </w:r>
          </w:p>
        </w:tc>
        <w:tc>
          <w:tcPr>
            <w:tcW w:w="1166"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4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1"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小计</w:t>
            </w:r>
          </w:p>
        </w:tc>
        <w:tc>
          <w:tcPr>
            <w:tcW w:w="1192"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基本支出</w:t>
            </w:r>
          </w:p>
        </w:tc>
        <w:tc>
          <w:tcPr>
            <w:tcW w:w="1192"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项目支出</w:t>
            </w:r>
          </w:p>
        </w:tc>
        <w:tc>
          <w:tcPr>
            <w:tcW w:w="1268"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24"/>
        </w:trPr>
        <w:tc>
          <w:tcPr>
            <w:tcW w:w="966"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045"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66"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4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1"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68"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12"/>
        </w:trPr>
        <w:tc>
          <w:tcPr>
            <w:tcW w:w="966" w:type="dxa"/>
            <w:gridSpan w:val="3"/>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045" w:type="dxa"/>
            <w:gridSpan w:val="2"/>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66"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840"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1"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92"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268" w:type="dxa"/>
            <w:vMerge/>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24"/>
        </w:trPr>
        <w:tc>
          <w:tcPr>
            <w:tcW w:w="2011" w:type="dxa"/>
            <w:gridSpan w:val="5"/>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栏次</w:t>
            </w: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1</w:t>
            </w: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2</w:t>
            </w: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3</w:t>
            </w: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4</w:t>
            </w: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5</w:t>
            </w: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6</w:t>
            </w:r>
          </w:p>
        </w:tc>
      </w:tr>
      <w:tr>
        <w:trPr>
          <w:trHeight w:val="324"/>
        </w:trPr>
        <w:tc>
          <w:tcPr>
            <w:tcW w:w="2011" w:type="dxa"/>
            <w:gridSpan w:val="5"/>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center"/>
              <w:textAlignment w:val="center"/>
              <w:rPr>
                <w:rFonts w:ascii="宋体" w:cs="宋体"/>
                <w:color w:val="000000"/>
                <w:szCs w:val="21"/>
              </w:rPr>
            </w:pPr>
            <w:r>
              <w:rPr>
                <w:rFonts w:ascii="宋体" w:cs="宋体" w:hint="eastAsia"/>
                <w:color w:val="000000"/>
                <w:kern w:val="0"/>
                <w:szCs w:val="21"/>
              </w:rPr>
              <w:t>合计</w:t>
            </w: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b/>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966" w:type="dxa"/>
            <w:gridSpan w:val="3"/>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045"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left"/>
              <w:rPr>
                <w:rFonts w:ascii="宋体" w:cs="宋体"/>
                <w:color w:val="000000"/>
                <w:szCs w:val="21"/>
              </w:rPr>
            </w:pPr>
          </w:p>
        </w:tc>
        <w:tc>
          <w:tcPr>
            <w:tcW w:w="116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840"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1"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192"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c>
          <w:tcPr>
            <w:tcW w:w="1268"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pacing w:after="0" w:line="240" w:lineRule="auto"/>
              <w:jc w:val="right"/>
              <w:rPr>
                <w:rFonts w:ascii="宋体" w:cs="宋体"/>
                <w:color w:val="000000"/>
                <w:szCs w:val="21"/>
              </w:rPr>
            </w:pPr>
          </w:p>
        </w:tc>
      </w:tr>
      <w:tr>
        <w:trPr>
          <w:trHeight w:val="324"/>
        </w:trPr>
        <w:tc>
          <w:tcPr>
            <w:tcW w:w="8860" w:type="dxa"/>
            <w:gridSpan w:val="11"/>
            <w:tcBorders>
              <w:top w:val="nil"/>
              <w:left w:val="nil"/>
              <w:bottom w:val="nil"/>
              <w:right w:val="nil"/>
            </w:tcBorders>
            <w:shd w:val="clear" w:color="auto" w:fill="auto"/>
            <w:noWrap/>
            <w:tcMar>
              <w:top w:w="15" w:type="dxa"/>
              <w:left w:w="15" w:type="dxa"/>
              <w:right w:w="15" w:type="dxa"/>
            </w:tcMar>
            <w:vAlign w:val="center"/>
          </w:tcPr>
          <w:p>
            <w:pPr>
              <w:widowControl/>
              <w:adjustRightInd w:val="0"/>
              <w:spacing w:after="0" w:line="240" w:lineRule="auto"/>
              <w:jc w:val="left"/>
              <w:textAlignment w:val="center"/>
              <w:rPr>
                <w:rFonts w:ascii="宋体" w:cs="宋体" w:hint="eastAsia"/>
                <w:color w:val="000000"/>
                <w:kern w:val="0"/>
                <w:szCs w:val="21"/>
              </w:rPr>
            </w:pPr>
            <w:r>
              <w:rPr>
                <w:rFonts w:ascii="宋体" w:cs="宋体" w:hint="eastAsia"/>
                <w:color w:val="000000"/>
                <w:kern w:val="0"/>
                <w:szCs w:val="21"/>
              </w:rPr>
              <w:t>注：</w:t>
            </w:r>
            <w:r>
              <w:rPr>
                <w:rFonts w:ascii="宋体" w:cs="宋体" w:hint="eastAsia"/>
                <w:color w:val="000000"/>
                <w:kern w:val="0"/>
                <w:szCs w:val="21"/>
                <w:lang w:val="en-US" w:eastAsia="zh-CN"/>
              </w:rPr>
              <w:t>1.</w:t>
            </w:r>
            <w:r>
              <w:rPr>
                <w:rFonts w:ascii="宋体" w:cs="宋体" w:hint="eastAsia"/>
                <w:color w:val="000000"/>
                <w:kern w:val="0"/>
                <w:szCs w:val="21"/>
              </w:rPr>
              <w:t>本</w:t>
            </w:r>
            <w:r>
              <w:rPr>
                <w:rFonts w:ascii="宋体" w:cs="宋体" w:hint="eastAsia"/>
                <w:color w:val="000000"/>
                <w:kern w:val="0"/>
                <w:szCs w:val="21"/>
                <w:lang w:eastAsia="zh-CN"/>
              </w:rPr>
              <w:t>表反映</w:t>
            </w:r>
            <w:r>
              <w:rPr>
                <w:rFonts w:ascii="宋体" w:cs="宋体" w:hint="eastAsia"/>
                <w:color w:val="000000"/>
                <w:kern w:val="0"/>
                <w:szCs w:val="21"/>
              </w:rPr>
              <w:t>部门本年度政府性基金预算财政拨款收入、支出及结转和结余情况。</w:t>
            </w:r>
          </w:p>
          <w:p>
            <w:pPr>
              <w:widowControl/>
              <w:adjustRightInd w:val="0"/>
              <w:spacing w:after="0" w:line="240" w:lineRule="auto"/>
              <w:jc w:val="left"/>
              <w:textAlignment w:val="center"/>
              <w:rPr>
                <w:rFonts w:ascii="宋体" w:cs="宋体"/>
                <w:color w:val="000000"/>
                <w:szCs w:val="21"/>
              </w:rPr>
            </w:pPr>
            <w:r>
              <w:rPr>
                <w:rFonts w:ascii="宋体" w:cs="宋体" w:hint="eastAsia"/>
                <w:color w:val="000000"/>
                <w:kern w:val="0"/>
                <w:szCs w:val="21"/>
                <w:lang w:val="en-US" w:eastAsia="zh-CN"/>
              </w:rPr>
              <w:t xml:space="preserve">    2.此表无数据，空表列示。</w:t>
            </w:r>
            <w:r>
              <w:rPr>
                <w:rFonts w:ascii="宋体" w:cs="宋体" w:hint="eastAsia"/>
                <w:color w:val="000000"/>
                <w:kern w:val="0"/>
                <w:szCs w:val="21"/>
              </w:rPr>
              <w:t xml:space="preserve">         </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880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442"/>
        <w:gridCol w:w="208"/>
        <w:gridCol w:w="504"/>
        <w:gridCol w:w="274"/>
        <w:gridCol w:w="894"/>
        <w:gridCol w:w="783"/>
        <w:gridCol w:w="252"/>
        <w:gridCol w:w="1646"/>
        <w:gridCol w:w="359"/>
        <w:gridCol w:w="1539"/>
        <w:gridCol w:w="1899"/>
      </w:tblGrid>
      <w:tr>
        <w:trPr>
          <w:trHeight w:val="656"/>
        </w:trPr>
        <w:tc>
          <w:tcPr>
            <w:tcW w:w="8800" w:type="dxa"/>
            <w:gridSpan w:val="11"/>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center"/>
              <w:textAlignment w:val="center"/>
              <w:rPr>
                <w:rFonts w:ascii="黑体" w:eastAsia="黑体" w:cs="黑体"/>
                <w:color w:val="000000"/>
                <w:sz w:val="40"/>
                <w:szCs w:val="40"/>
              </w:rPr>
            </w:pPr>
            <w:r>
              <w:rPr>
                <w:rFonts w:ascii="黑体" w:eastAsia="黑体" w:cs="黑体" w:hint="eastAsia"/>
                <w:color w:val="000000"/>
                <w:kern w:val="0"/>
                <w:sz w:val="40"/>
                <w:szCs w:val="40"/>
              </w:rPr>
              <w:t>国有资本经营预算财政拨</w:t>
            </w:r>
            <w:r>
              <w:rPr>
                <w:sz w:val="44"/>
              </w:rPr>
              <mc:AlternateContent>
                <mc:Choice Requires="wps">
                  <w:drawing>
                    <wp:anchor distT="0" distB="0" distL="91438" distR="91438" simplePos="0" relativeHeight="103"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106" name="组合"/>
                      <wp:cNvGraphicFramePr>
                        <a:graphicFrameLocks noChangeAspect="0"/>
                      </wp:cNvGraphicFramePr>
                      <a:graphic>
                        <a:graphicData uri="http://schemas.microsoft.com/office/word/2010/wordprocessingGroup">
                          <wpg:wgp>
                            <wpg:cNvPr id="107" name="组合 107"/>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108" name="_s112 108"/>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09" name="_s113 109"/>
                              <wps:cNvSpPr/>
                              <wps:spPr>
                                <a:xfrm rot="0">
                                  <a:off x="8891" y="103505"/>
                                  <a:ext cx="3008613" cy="419736"/>
                                </a:xfrm>
                                <a:prstGeom prst="rect"/>
                                <a:solidFill>
                                  <a:srgbClr val="AD002D"/>
                                </a:solidFill>
                                <a:ln w="25400" cmpd="sng" cap="flat">
                                  <a:solidFill>
                                    <a:srgbClr val="AF7621"/>
                                  </a:solidFill>
                                  <a:prstDash val="solid"/>
                                  <a:miter/>
                                </a:ln>
                              </wps:spPr>
                              <wps:txbx id="110">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11" o:spid="_x0000_s111" coordorigin="-29,475" coordsize="4863,824" style="position:absolute;margin-left:-80.899994pt;margin-top:-81.10013pt;width:243.19995pt;height:41.200157pt;z-index:103;mso-position-horizontal:absolute;mso-position-vertical:absolute;mso-position-vertical-relative:page;mso-wrap-distance-left:7.19989pt;mso-wrap-distance-right:7.19989pt;">
                      <v:rect type="#_x0000_t1" id="_s112" o:spid="_x0000_s112" style="position:absolute;left:-29;top:475;width:4863;height:692;" fillcolor="#D8D8D8" stroked="f">
                        <v:stroke color="#000000"/>
                      </v:rect>
                      <v:rect type="#_x0000_t1" id="_s113" o:spid="_x0000_s113" style="position:absolute;left:-15;top:638;width:4737;height:661;mso-wrap-style:square;" fillcolor="#AD002D" stroked="t" strokeweight="2.0pt">
                        <v:textbox id="873"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款支出决算表</w:t>
            </w:r>
          </w:p>
        </w:tc>
      </w:tr>
      <w:tr>
        <w:trPr>
          <w:trHeight w:val="335"/>
        </w:trPr>
        <w:tc>
          <w:tcPr>
            <w:tcW w:w="442"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208"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504" w:type="dxa"/>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116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103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200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343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right"/>
              <w:textAlignment w:val="center"/>
              <w:rPr>
                <w:rFonts w:ascii="宋体" w:cs="宋体"/>
                <w:color w:val="000000"/>
                <w:sz w:val="22"/>
                <w:szCs w:val="22"/>
              </w:rPr>
            </w:pPr>
            <w:r>
              <w:rPr>
                <w:rFonts w:ascii="宋体" w:cs="宋体" w:hint="eastAsia"/>
                <w:color w:val="000000"/>
                <w:kern w:val="0"/>
                <w:sz w:val="22"/>
                <w:szCs w:val="22"/>
              </w:rPr>
              <w:t>公开09表</w:t>
            </w:r>
          </w:p>
        </w:tc>
      </w:tr>
      <w:tr>
        <w:trPr>
          <w:trHeight w:val="335"/>
        </w:trPr>
        <w:tc>
          <w:tcPr>
            <w:tcW w:w="3357" w:type="dxa"/>
            <w:gridSpan w:val="7"/>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left"/>
              <w:textAlignment w:val="center"/>
              <w:rPr>
                <w:rFonts w:ascii="宋体" w:cs="宋体"/>
                <w:color w:val="000000"/>
                <w:sz w:val="22"/>
                <w:szCs w:val="22"/>
              </w:rPr>
            </w:pPr>
            <w:r>
              <w:rPr>
                <w:rFonts w:ascii="宋体" w:cs="宋体" w:hint="eastAsia"/>
                <w:color w:val="000000"/>
                <w:kern w:val="0"/>
                <w:sz w:val="22"/>
                <w:szCs w:val="22"/>
              </w:rPr>
              <w:t>编制单位：唐山市丰南区文化馆</w:t>
            </w:r>
          </w:p>
        </w:tc>
        <w:tc>
          <w:tcPr>
            <w:tcW w:w="2005"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rPr>
                <w:rFonts w:ascii="Arial" w:cs="Arial" w:hAnsi="Arial"/>
                <w:color w:val="000000"/>
                <w:sz w:val="22"/>
                <w:szCs w:val="22"/>
              </w:rPr>
            </w:pPr>
          </w:p>
        </w:tc>
        <w:tc>
          <w:tcPr>
            <w:tcW w:w="3438" w:type="dxa"/>
            <w:gridSpan w:val="2"/>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right"/>
              <w:textAlignment w:val="center"/>
              <w:rPr>
                <w:rFonts w:ascii="宋体" w:cs="宋体"/>
                <w:color w:val="000000"/>
                <w:sz w:val="22"/>
                <w:szCs w:val="22"/>
              </w:rPr>
            </w:pPr>
            <w:r>
              <w:rPr>
                <w:rFonts w:ascii="宋体" w:cs="宋体" w:hint="eastAsia"/>
                <w:color w:val="000000"/>
                <w:kern w:val="0"/>
                <w:sz w:val="22"/>
                <w:szCs w:val="22"/>
              </w:rPr>
              <w:t>金额单位：</w:t>
            </w:r>
            <w:r>
              <w:rPr>
                <w:rFonts w:ascii="宋体" w:cs="宋体" w:hint="eastAsia"/>
                <w:color w:val="000000"/>
                <w:kern w:val="0"/>
                <w:sz w:val="22"/>
                <w:szCs w:val="22"/>
                <w:lang w:eastAsia="zh-CN"/>
              </w:rPr>
              <w:t>万</w:t>
            </w:r>
            <w:r>
              <w:rPr>
                <w:rFonts w:ascii="宋体" w:cs="宋体" w:hint="eastAsia"/>
                <w:color w:val="000000"/>
                <w:kern w:val="0"/>
                <w:sz w:val="22"/>
                <w:szCs w:val="22"/>
              </w:rPr>
              <w:t>元</w:t>
            </w:r>
          </w:p>
        </w:tc>
      </w:tr>
      <w:tr>
        <w:trPr>
          <w:trHeight w:val="358"/>
        </w:trPr>
        <w:tc>
          <w:tcPr>
            <w:tcW w:w="3105"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科目</w:t>
            </w:r>
          </w:p>
        </w:tc>
        <w:tc>
          <w:tcPr>
            <w:tcW w:w="5695" w:type="dxa"/>
            <w:gridSpan w:val="5"/>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本年支出</w:t>
            </w:r>
          </w:p>
        </w:tc>
      </w:tr>
      <w:tr>
        <w:trPr>
          <w:trHeight w:val="82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功能分类科目编码</w:t>
            </w: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科目名称</w:t>
            </w: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小计</w:t>
            </w: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基本支出</w:t>
            </w: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项目支出</w:t>
            </w:r>
          </w:p>
        </w:tc>
      </w:tr>
      <w:tr>
        <w:trPr>
          <w:trHeight w:val="358"/>
        </w:trPr>
        <w:tc>
          <w:tcPr>
            <w:tcW w:w="3105" w:type="dxa"/>
            <w:gridSpan w:val="6"/>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栏次</w:t>
            </w: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1</w:t>
            </w: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2</w:t>
            </w: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3</w:t>
            </w:r>
          </w:p>
        </w:tc>
      </w:tr>
      <w:tr>
        <w:trPr>
          <w:trHeight w:val="358"/>
        </w:trPr>
        <w:tc>
          <w:tcPr>
            <w:tcW w:w="3105" w:type="dxa"/>
            <w:gridSpan w:val="6"/>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center"/>
              <w:textAlignment w:val="center"/>
              <w:rPr>
                <w:rFonts w:ascii="宋体" w:cs="宋体"/>
                <w:color w:val="000000"/>
                <w:sz w:val="22"/>
                <w:szCs w:val="22"/>
              </w:rPr>
            </w:pPr>
            <w:r>
              <w:rPr>
                <w:rFonts w:ascii="宋体" w:cs="宋体" w:hint="eastAsia"/>
                <w:color w:val="000000"/>
                <w:kern w:val="0"/>
                <w:sz w:val="22"/>
                <w:szCs w:val="22"/>
              </w:rPr>
              <w:t>合计</w:t>
            </w: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46"/>
        </w:trPr>
        <w:tc>
          <w:tcPr>
            <w:tcW w:w="1428" w:type="dxa"/>
            <w:gridSpan w:val="4"/>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677"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lef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8"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c>
          <w:tcPr>
            <w:tcW w:w="1899"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spacing w:after="0" w:line="240" w:lineRule="auto"/>
              <w:jc w:val="right"/>
              <w:rPr>
                <w:rFonts w:ascii="宋体" w:cs="宋体"/>
                <w:color w:val="000000"/>
                <w:sz w:val="22"/>
                <w:szCs w:val="22"/>
              </w:rPr>
            </w:pPr>
          </w:p>
        </w:tc>
      </w:tr>
      <w:tr>
        <w:trPr>
          <w:trHeight w:val="358"/>
        </w:trPr>
        <w:tc>
          <w:tcPr>
            <w:tcW w:w="8800" w:type="dxa"/>
            <w:gridSpan w:val="11"/>
            <w:tcBorders>
              <w:top w:val="nil"/>
              <w:left w:val="nil"/>
              <w:bottom w:val="nil"/>
              <w:right w:val="nil"/>
            </w:tcBorders>
            <w:shd w:val="clear" w:color="auto" w:fill="auto"/>
            <w:noWrap/>
            <w:tcMar>
              <w:top w:w="15" w:type="dxa"/>
              <w:left w:w="15" w:type="dxa"/>
              <w:right w:w="15" w:type="dxa"/>
            </w:tcMar>
            <w:vAlign w:val="center"/>
          </w:tcPr>
          <w:p>
            <w:pPr>
              <w:widowControl/>
              <w:spacing w:after="0" w:line="240" w:lineRule="auto"/>
              <w:jc w:val="left"/>
              <w:textAlignment w:val="center"/>
              <w:rPr>
                <w:rFonts w:ascii="宋体" w:cs="宋体" w:hint="eastAsia"/>
                <w:color w:val="000000"/>
                <w:kern w:val="0"/>
                <w:sz w:val="22"/>
                <w:szCs w:val="22"/>
              </w:rPr>
            </w:pPr>
            <w:r>
              <w:rPr>
                <w:rFonts w:ascii="宋体" w:cs="宋体" w:hint="eastAsia"/>
                <w:color w:val="000000"/>
                <w:kern w:val="0"/>
                <w:sz w:val="22"/>
                <w:szCs w:val="22"/>
              </w:rPr>
              <w:t>注：</w:t>
            </w:r>
            <w:r>
              <w:rPr>
                <w:rFonts w:ascii="宋体" w:cs="宋体" w:hint="eastAsia"/>
                <w:color w:val="000000"/>
                <w:kern w:val="0"/>
                <w:sz w:val="22"/>
                <w:szCs w:val="22"/>
                <w:lang w:val="en-US" w:eastAsia="zh-CN"/>
              </w:rPr>
              <w:t>1.</w:t>
            </w:r>
            <w:r>
              <w:rPr>
                <w:rFonts w:ascii="宋体" w:cs="宋体" w:hint="eastAsia"/>
                <w:color w:val="000000"/>
                <w:kern w:val="0"/>
                <w:sz w:val="22"/>
                <w:szCs w:val="22"/>
              </w:rPr>
              <w:t>本</w:t>
            </w:r>
            <w:r>
              <w:rPr>
                <w:rFonts w:ascii="宋体" w:cs="宋体" w:hint="eastAsia"/>
                <w:color w:val="000000"/>
                <w:kern w:val="0"/>
                <w:sz w:val="22"/>
                <w:szCs w:val="22"/>
                <w:lang w:eastAsia="zh-CN"/>
              </w:rPr>
              <w:t>表反映</w:t>
            </w:r>
            <w:r>
              <w:rPr>
                <w:rFonts w:ascii="宋体" w:cs="宋体" w:hint="eastAsia"/>
                <w:color w:val="000000"/>
                <w:kern w:val="0"/>
                <w:sz w:val="22"/>
                <w:szCs w:val="22"/>
              </w:rPr>
              <w:t>部门本年度国有资本经营预算财政拨款支出情况。</w:t>
            </w:r>
          </w:p>
          <w:p>
            <w:pPr>
              <w:widowControl/>
              <w:spacing w:after="0" w:line="240" w:lineRule="auto"/>
              <w:jc w:val="left"/>
              <w:textAlignment w:val="center"/>
              <w:rPr>
                <w:rFonts w:ascii="宋体" w:eastAsia="宋体" w:cs="宋体"/>
                <w:color w:val="000000"/>
                <w:kern w:val="0"/>
                <w:sz w:val="22"/>
                <w:szCs w:val="22"/>
                <w:lang w:val="en-US" w:eastAsia="zh-CN"/>
              </w:rPr>
            </w:pPr>
            <w:r>
              <w:rPr>
                <w:rFonts w:ascii="宋体" w:cs="宋体" w:hint="eastAsia"/>
                <w:color w:val="000000"/>
                <w:kern w:val="0"/>
                <w:sz w:val="22"/>
                <w:szCs w:val="22"/>
                <w:lang w:val="en-US" w:eastAsia="zh-CN"/>
              </w:rPr>
              <w:t xml:space="preserve">    2.此表无数据，空表列示。</w:t>
            </w:r>
          </w:p>
        </w:tc>
      </w:tr>
    </w:tbl>
    <w:p>
      <w:pPr>
        <w:widowControl/>
        <w:spacing w:after="0" w:line="560" w:lineRule="exact"/>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p>
    <w:tbl>
      <w:tblPr>
        <w:jc w:val="left"/>
        <w:tblInd w:w="0" w:type="dxa"/>
        <w:tblW w:w="8940"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901"/>
        <w:gridCol w:w="1203"/>
        <w:gridCol w:w="790"/>
        <w:gridCol w:w="362"/>
        <w:gridCol w:w="911"/>
        <w:gridCol w:w="241"/>
        <w:gridCol w:w="1032"/>
        <w:gridCol w:w="120"/>
        <w:gridCol w:w="1154"/>
        <w:gridCol w:w="1226"/>
      </w:tblGrid>
      <w:tr>
        <w:trPr>
          <w:trHeight w:val="635"/>
        </w:trPr>
        <w:tc>
          <w:tcPr>
            <w:tcW w:w="8940" w:type="dxa"/>
            <w:gridSpan w:val="10"/>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黑体" w:eastAsia="黑体" w:cs="黑体"/>
                <w:color w:val="000000"/>
                <w:sz w:val="40"/>
                <w:szCs w:val="40"/>
              </w:rPr>
            </w:pPr>
            <w:r>
              <w:rPr>
                <w:rFonts w:ascii="黑体" w:eastAsia="黑体" w:cs="黑体" w:hint="eastAsia"/>
                <w:color w:val="000000"/>
                <w:kern w:val="0"/>
                <w:sz w:val="40"/>
                <w:szCs w:val="40"/>
              </w:rPr>
              <w:t>政府采购</w:t>
            </w:r>
            <w:r>
              <w:rPr>
                <w:sz w:val="44"/>
              </w:rPr>
              <mc:AlternateContent>
                <mc:Choice Requires="wps">
                  <w:drawing>
                    <wp:anchor distT="0" distB="0" distL="91438" distR="91438" simplePos="0" relativeHeight="105" behindDoc="0" locked="1" layoutInCell="1" hidden="0" allowOverlap="1">
                      <wp:simplePos x="0" y="0"/>
                      <wp:positionH relativeFrom="column">
                        <wp:posOffset>-1027429</wp:posOffset>
                      </wp:positionH>
                      <wp:positionV relativeFrom="page">
                        <wp:posOffset>-1029971</wp:posOffset>
                      </wp:positionV>
                      <wp:extent cx="3088639" cy="523242"/>
                      <wp:effectExtent l="0" t="0" r="0" b="0"/>
                      <wp:wrapNone/>
                      <wp:docPr id="114" name="组合"/>
                      <wp:cNvGraphicFramePr>
                        <a:graphicFrameLocks noChangeAspect="0"/>
                      </wp:cNvGraphicFramePr>
                      <a:graphic>
                        <a:graphicData uri="http://schemas.microsoft.com/office/word/2010/wordprocessingGroup">
                          <wpg:wgp>
                            <wpg:cNvPr id="115" name="组合 115"/>
                            <wpg:cNvGrpSpPr/>
                            <wpg:grpSpPr>
                              <a:xfrm rot="0">
                                <a:off x="0" y="0"/>
                                <a:ext cx="3088639" cy="523242"/>
                                <a:chOff x="0" y="0"/>
                                <a:chExt cx="3088639" cy="523242"/>
                              </a:xfrm>
                              <a:prstGeom prst="rect"/>
                              <a:solidFill>
                                <a:srgbClr val="FFFFFF"/>
                              </a:solidFill>
                              <a:ln w="9525" cmpd="sng" cap="flat">
                                <a:solidFill>
                                  <a:srgbClr val="000000"/>
                                </a:solidFill>
                                <a:prstDash val="solid"/>
                                <a:miter/>
                              </a:ln>
                            </wpg:grpSpPr>
                            <wps:wsp>
                              <wps:cNvPr id="116" name="_s120 116"/>
                              <wps:cNvSpPr/>
                              <wps:spPr>
                                <a:xfrm rot="0">
                                  <a:off x="0" y="0"/>
                                  <a:ext cx="3088639" cy="439421"/>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17" name="_s121 117"/>
                              <wps:cNvSpPr/>
                              <wps:spPr>
                                <a:xfrm rot="0">
                                  <a:off x="8891" y="103505"/>
                                  <a:ext cx="3008613" cy="419736"/>
                                </a:xfrm>
                                <a:prstGeom prst="rect"/>
                                <a:solidFill>
                                  <a:srgbClr val="AD002D"/>
                                </a:solidFill>
                                <a:ln w="25400" cmpd="sng" cap="flat">
                                  <a:solidFill>
                                    <a:srgbClr val="AF7621"/>
                                  </a:solidFill>
                                  <a:prstDash val="solid"/>
                                  <a:miter/>
                                </a:ln>
                              </wps:spPr>
                              <wps:txbx id="118">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19" o:spid="_x0000_s119" coordorigin="-29,475" coordsize="4863,824" style="position:absolute;margin-left:-80.899994pt;margin-top:-81.10013pt;width:243.19995pt;height:41.200157pt;z-index:105;mso-position-horizontal:absolute;mso-position-vertical:absolute;mso-position-vertical-relative:page;mso-wrap-distance-left:7.19989pt;mso-wrap-distance-right:7.19989pt;">
                      <v:rect type="#_x0000_t1" id="_s120" o:spid="_x0000_s120" style="position:absolute;left:-29;top:475;width:4863;height:692;" fillcolor="#D8D8D8" stroked="f">
                        <v:stroke color="#000000"/>
                      </v:rect>
                      <v:rect type="#_x0000_t1" id="_s121" o:spid="_x0000_s121" style="position:absolute;left:-15;top:638;width:4737;height:661;mso-wrap-style:square;" fillcolor="#AD002D" stroked="t" strokeweight="2.0pt">
                        <v:textbox id="874"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2018年度部门决算☞决算报表</w:t>
                              </w:r>
                            </w:p>
                            <w:p>
                              <w:pPr>
                                <w:jc w:val="center"/>
                              </w:pPr>
                            </w:p>
                          </w:txbxContent>
                        </v:textbox>
                        <v:stroke color="#AF7621"/>
                      </v:rect>
                      <w10:anchorLock/>
                    </v:group>
                  </w:pict>
                </mc:Fallback>
              </mc:AlternateContent>
            </w:r>
            <w:r>
              <w:rPr>
                <w:rFonts w:ascii="黑体" w:eastAsia="黑体" w:cs="黑体" w:hint="eastAsia"/>
                <w:color w:val="000000"/>
                <w:kern w:val="0"/>
                <w:sz w:val="40"/>
                <w:szCs w:val="40"/>
              </w:rPr>
              <w:t>情况表</w:t>
            </w:r>
          </w:p>
        </w:tc>
      </w:tr>
      <w:tr>
        <w:trPr>
          <w:trHeight w:val="326"/>
        </w:trPr>
        <w:tc>
          <w:tcPr>
            <w:tcW w:w="1901"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Cs w:val="21"/>
              </w:rPr>
            </w:pPr>
          </w:p>
        </w:tc>
        <w:tc>
          <w:tcPr>
            <w:tcW w:w="1203"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Cs w:val="21"/>
              </w:rPr>
            </w:pPr>
          </w:p>
        </w:tc>
        <w:tc>
          <w:tcPr>
            <w:tcW w:w="790" w:type="dxa"/>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Cs w:val="21"/>
              </w:rPr>
            </w:pPr>
          </w:p>
        </w:tc>
        <w:tc>
          <w:tcPr>
            <w:tcW w:w="1273" w:type="dxa"/>
            <w:gridSpan w:val="2"/>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Cs w:val="21"/>
              </w:rPr>
            </w:pPr>
          </w:p>
        </w:tc>
        <w:tc>
          <w:tcPr>
            <w:tcW w:w="1273" w:type="dxa"/>
            <w:gridSpan w:val="2"/>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rPr>
                <w:rFonts w:ascii="Arial" w:cs="Arial" w:hAnsi="Arial"/>
                <w:color w:val="000000"/>
                <w:szCs w:val="21"/>
              </w:rPr>
            </w:pPr>
          </w:p>
        </w:tc>
        <w:tc>
          <w:tcPr>
            <w:tcW w:w="2500" w:type="dxa"/>
            <w:gridSpan w:val="3"/>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right"/>
              <w:textAlignment w:val="center"/>
              <w:rPr>
                <w:rFonts w:ascii="宋体" w:cs="宋体"/>
                <w:color w:val="000000"/>
                <w:szCs w:val="21"/>
              </w:rPr>
            </w:pPr>
            <w:r>
              <w:rPr>
                <w:rFonts w:ascii="宋体" w:cs="宋体" w:hint="eastAsia"/>
                <w:color w:val="000000"/>
                <w:kern w:val="0"/>
                <w:szCs w:val="21"/>
              </w:rPr>
              <w:t>公开10表</w:t>
            </w:r>
          </w:p>
        </w:tc>
      </w:tr>
      <w:tr>
        <w:trPr>
          <w:trHeight w:val="360"/>
        </w:trPr>
        <w:tc>
          <w:tcPr>
            <w:tcW w:w="6440" w:type="dxa"/>
            <w:gridSpan w:val="7"/>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left"/>
              <w:textAlignment w:val="center"/>
              <w:rPr>
                <w:rFonts w:ascii="宋体" w:cs="宋体"/>
                <w:color w:val="000000"/>
                <w:szCs w:val="21"/>
              </w:rPr>
            </w:pPr>
            <w:r>
              <w:rPr>
                <w:rFonts w:ascii="宋体" w:cs="宋体" w:hint="eastAsia"/>
                <w:color w:val="000000"/>
                <w:kern w:val="0"/>
                <w:szCs w:val="21"/>
              </w:rPr>
              <w:t>编制单位：唐山市丰南区文化馆</w:t>
            </w:r>
          </w:p>
        </w:tc>
        <w:tc>
          <w:tcPr>
            <w:tcW w:w="2500" w:type="dxa"/>
            <w:gridSpan w:val="3"/>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right"/>
              <w:textAlignment w:val="center"/>
              <w:rPr>
                <w:rFonts w:ascii="宋体" w:cs="宋体"/>
                <w:color w:val="000000"/>
                <w:szCs w:val="21"/>
              </w:rPr>
            </w:pPr>
            <w:r>
              <w:rPr>
                <w:rFonts w:ascii="宋体" w:cs="宋体" w:hint="eastAsia"/>
                <w:color w:val="000000"/>
                <w:kern w:val="0"/>
                <w:szCs w:val="21"/>
              </w:rPr>
              <w:t>金额单位：</w:t>
            </w:r>
            <w:r>
              <w:rPr>
                <w:rFonts w:ascii="宋体" w:cs="宋体" w:hint="eastAsia"/>
                <w:color w:val="000000"/>
                <w:kern w:val="0"/>
                <w:szCs w:val="21"/>
                <w:lang w:eastAsia="zh-CN"/>
              </w:rPr>
              <w:t>万</w:t>
            </w:r>
            <w:r>
              <w:rPr>
                <w:rFonts w:ascii="宋体" w:cs="宋体" w:hint="eastAsia"/>
                <w:color w:val="000000"/>
                <w:kern w:val="0"/>
                <w:szCs w:val="21"/>
              </w:rPr>
              <w:t>元</w:t>
            </w:r>
          </w:p>
        </w:tc>
      </w:tr>
      <w:tr>
        <w:trPr>
          <w:trHeight w:val="309"/>
        </w:trPr>
        <w:tc>
          <w:tcPr>
            <w:tcW w:w="190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项目</w:t>
            </w:r>
          </w:p>
        </w:tc>
        <w:tc>
          <w:tcPr>
            <w:tcW w:w="7039" w:type="dxa"/>
            <w:gridSpan w:val="9"/>
            <w:tcBorders>
              <w:top w:val="single" w:sz="4" w:space="0" w:color="000000"/>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采购计划金额</w:t>
            </w:r>
          </w:p>
        </w:tc>
      </w:tr>
      <w:tr>
        <w:trPr>
          <w:trHeight w:val="398"/>
        </w:trPr>
        <w:tc>
          <w:tcPr>
            <w:tcW w:w="190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203"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总计</w:t>
            </w:r>
          </w:p>
        </w:tc>
        <w:tc>
          <w:tcPr>
            <w:tcW w:w="4610" w:type="dxa"/>
            <w:gridSpan w:val="7"/>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采购预算（财政性资金）</w:t>
            </w:r>
          </w:p>
        </w:tc>
        <w:tc>
          <w:tcPr>
            <w:tcW w:w="1226"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非财政性资金</w:t>
            </w:r>
          </w:p>
        </w:tc>
      </w:tr>
      <w:tr>
        <w:trPr>
          <w:trHeight w:val="473"/>
        </w:trPr>
        <w:tc>
          <w:tcPr>
            <w:tcW w:w="190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203"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合计</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一般公共预算</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政府性基金预算</w:t>
            </w: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其他资金</w:t>
            </w:r>
          </w:p>
        </w:tc>
        <w:tc>
          <w:tcPr>
            <w:tcW w:w="1226"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35"/>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栏次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2</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3</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4</w:t>
            </w: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5</w:t>
            </w: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6</w:t>
            </w:r>
          </w:p>
        </w:tc>
      </w:tr>
      <w:tr>
        <w:trPr>
          <w:trHeight w:val="350"/>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       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50"/>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货物</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50"/>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工程</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50"/>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服务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09"/>
        </w:trPr>
        <w:tc>
          <w:tcPr>
            <w:tcW w:w="1901"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项目</w:t>
            </w:r>
          </w:p>
        </w:tc>
        <w:tc>
          <w:tcPr>
            <w:tcW w:w="7039" w:type="dxa"/>
            <w:gridSpan w:val="9"/>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实际采购金额</w:t>
            </w:r>
          </w:p>
        </w:tc>
      </w:tr>
      <w:tr>
        <w:trPr>
          <w:trHeight w:val="350"/>
        </w:trPr>
        <w:tc>
          <w:tcPr>
            <w:tcW w:w="1901"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203"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总计</w:t>
            </w:r>
          </w:p>
        </w:tc>
        <w:tc>
          <w:tcPr>
            <w:tcW w:w="4610" w:type="dxa"/>
            <w:gridSpan w:val="7"/>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采购预算（财政性资金）</w:t>
            </w:r>
          </w:p>
        </w:tc>
        <w:tc>
          <w:tcPr>
            <w:tcW w:w="1226" w:type="dxa"/>
            <w:vMerge w:val="restart"/>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非财政性资金</w:t>
            </w:r>
          </w:p>
        </w:tc>
      </w:tr>
      <w:tr>
        <w:trPr>
          <w:trHeight w:val="543"/>
        </w:trPr>
        <w:tc>
          <w:tcPr>
            <w:tcW w:w="1901"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tc>
        <w:tc>
          <w:tcPr>
            <w:tcW w:w="1203"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合计</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一般公共预算</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政府性基金预算</w:t>
            </w: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其他资金</w:t>
            </w:r>
          </w:p>
        </w:tc>
        <w:tc>
          <w:tcPr>
            <w:tcW w:w="1226" w:type="dxa"/>
            <w:vMerge/>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tc>
      </w:tr>
      <w:tr>
        <w:trPr>
          <w:trHeight w:val="309"/>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栏次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1</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2</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3</w:t>
            </w: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4</w:t>
            </w: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5</w:t>
            </w: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6</w:t>
            </w:r>
          </w:p>
        </w:tc>
      </w:tr>
      <w:tr>
        <w:trPr>
          <w:trHeight w:val="335"/>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合       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35"/>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货物</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35"/>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工程</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35"/>
        </w:trPr>
        <w:tc>
          <w:tcPr>
            <w:tcW w:w="1901"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center"/>
              <w:textAlignment w:val="center"/>
              <w:rPr>
                <w:rFonts w:ascii="宋体" w:cs="宋体"/>
                <w:color w:val="000000"/>
                <w:szCs w:val="21"/>
              </w:rPr>
            </w:pPr>
            <w:r>
              <w:rPr>
                <w:rFonts w:ascii="宋体" w:cs="宋体" w:hint="eastAsia"/>
                <w:color w:val="000000"/>
                <w:kern w:val="0"/>
                <w:szCs w:val="21"/>
              </w:rPr>
              <w:t>服务</w:t>
            </w:r>
          </w:p>
        </w:tc>
        <w:tc>
          <w:tcPr>
            <w:tcW w:w="1203"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2" w:type="dxa"/>
            <w:gridSpan w:val="2"/>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154"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c>
          <w:tcPr>
            <w:tcW w:w="1226" w:type="dxa"/>
            <w:tcBorders>
              <w:top w:val="nil"/>
              <w:left w:val="nil"/>
              <w:bottom w:val="single" w:sz="4" w:space="0" w:color="000000"/>
              <w:right w:val="single" w:sz="4" w:space="0" w:color="000000"/>
            </w:tcBorders>
            <w:shd w:val="clear" w:color="auto" w:fill="auto"/>
            <w:noWrap/>
            <w:tcMar>
              <w:top w:w="15" w:type="dxa"/>
              <w:left w:w="15" w:type="dxa"/>
              <w:right w:w="15" w:type="dxa"/>
            </w:tcMar>
            <w:vAlign w:val="center"/>
          </w:tcPr>
          <w:p>
            <w:pPr>
              <w:widowControl/>
              <w:adjustRightInd w:val="0"/>
              <w:snapToGrid w:val="0"/>
              <w:spacing w:after="0" w:line="240" w:lineRule="auto"/>
              <w:jc w:val="right"/>
              <w:rPr>
                <w:rFonts w:ascii="宋体" w:cs="宋体"/>
                <w:color w:val="000000"/>
                <w:szCs w:val="21"/>
              </w:rPr>
            </w:pPr>
          </w:p>
        </w:tc>
      </w:tr>
      <w:tr>
        <w:trPr>
          <w:trHeight w:val="398"/>
        </w:trPr>
        <w:tc>
          <w:tcPr>
            <w:tcW w:w="8940" w:type="dxa"/>
            <w:gridSpan w:val="10"/>
            <w:tcBorders>
              <w:top w:val="nil"/>
              <w:left w:val="nil"/>
              <w:bottom w:val="nil"/>
              <w:right w:val="nil"/>
            </w:tcBorders>
            <w:shd w:val="clear" w:color="auto" w:fill="auto"/>
            <w:noWrap/>
            <w:tcMar>
              <w:top w:w="15" w:type="dxa"/>
              <w:left w:w="15" w:type="dxa"/>
              <w:right w:w="15" w:type="dxa"/>
            </w:tcMar>
            <w:vAlign w:val="center"/>
          </w:tcPr>
          <w:p>
            <w:pPr>
              <w:widowControl/>
              <w:adjustRightInd w:val="0"/>
              <w:snapToGrid w:val="0"/>
              <w:spacing w:after="0" w:line="240" w:lineRule="auto"/>
              <w:jc w:val="left"/>
              <w:textAlignment w:val="center"/>
              <w:rPr>
                <w:rFonts w:ascii="宋体" w:cs="宋体" w:hint="eastAsia"/>
                <w:color w:val="000000"/>
                <w:kern w:val="0"/>
                <w:szCs w:val="21"/>
              </w:rPr>
            </w:pPr>
            <w:r>
              <w:rPr>
                <w:rFonts w:ascii="宋体" w:cs="宋体" w:hint="eastAsia"/>
                <w:color w:val="000000"/>
                <w:kern w:val="0"/>
                <w:szCs w:val="21"/>
              </w:rPr>
              <w:t>注：</w:t>
            </w:r>
            <w:r>
              <w:rPr>
                <w:rFonts w:ascii="宋体" w:cs="宋体" w:hint="eastAsia"/>
                <w:color w:val="000000"/>
                <w:kern w:val="0"/>
                <w:szCs w:val="21"/>
                <w:lang w:val="en-US" w:eastAsia="zh-CN"/>
              </w:rPr>
              <w:t>1.</w:t>
            </w:r>
            <w:r>
              <w:rPr>
                <w:rFonts w:ascii="宋体" w:cs="宋体" w:hint="eastAsia"/>
                <w:color w:val="000000"/>
                <w:kern w:val="0"/>
                <w:szCs w:val="21"/>
              </w:rPr>
              <w:t>本</w:t>
            </w:r>
            <w:r>
              <w:rPr>
                <w:rFonts w:ascii="宋体" w:cs="宋体" w:hint="eastAsia"/>
                <w:color w:val="000000"/>
                <w:kern w:val="0"/>
                <w:szCs w:val="21"/>
                <w:lang w:eastAsia="zh-CN"/>
              </w:rPr>
              <w:t>表反映部门</w:t>
            </w:r>
            <w:r>
              <w:rPr>
                <w:rFonts w:ascii="宋体" w:cs="宋体" w:hint="eastAsia"/>
                <w:color w:val="000000"/>
                <w:kern w:val="0"/>
                <w:szCs w:val="21"/>
              </w:rPr>
              <w:t>本年度</w:t>
            </w:r>
            <w:r>
              <w:rPr>
                <w:rFonts w:ascii="宋体" w:cs="宋体" w:hint="eastAsia"/>
                <w:color w:val="000000"/>
                <w:kern w:val="0"/>
                <w:szCs w:val="21"/>
                <w:lang w:eastAsia="zh-CN"/>
              </w:rPr>
              <w:t>纳入部门预算范围的</w:t>
            </w:r>
            <w:r>
              <w:rPr>
                <w:rFonts w:ascii="宋体" w:cs="宋体" w:hint="eastAsia"/>
                <w:color w:val="000000"/>
                <w:kern w:val="0"/>
                <w:szCs w:val="21"/>
              </w:rPr>
              <w:t xml:space="preserve">政府采购预算及支出情况。 </w:t>
            </w:r>
          </w:p>
          <w:p>
            <w:pPr>
              <w:widowControl/>
              <w:adjustRightInd w:val="0"/>
              <w:snapToGrid w:val="0"/>
              <w:spacing w:after="0" w:line="240" w:lineRule="auto"/>
              <w:jc w:val="left"/>
              <w:textAlignment w:val="center"/>
              <w:rPr>
                <w:rFonts w:ascii="宋体" w:cs="宋体"/>
                <w:color w:val="000000"/>
                <w:szCs w:val="21"/>
              </w:rPr>
            </w:pPr>
            <w:r>
              <w:rPr>
                <w:rFonts w:ascii="宋体" w:cs="宋体" w:hint="eastAsia"/>
                <w:color w:val="000000"/>
                <w:kern w:val="0"/>
                <w:szCs w:val="21"/>
                <w:lang w:val="en-US" w:eastAsia="zh-CN"/>
              </w:rPr>
              <w:t xml:space="preserve">    2.此表无数据，空表列示。</w:t>
            </w:r>
            <w:r>
              <w:rPr>
                <w:rFonts w:ascii="宋体" w:cs="宋体" w:hint="eastAsia"/>
                <w:color w:val="000000"/>
                <w:kern w:val="0"/>
                <w:szCs w:val="21"/>
              </w:rPr>
              <w:t xml:space="preserve">    </w:t>
            </w:r>
          </w:p>
        </w:tc>
      </w:tr>
    </w:tbl>
    <w:p>
      <w:pPr>
        <w:widowControl/>
        <w:spacing w:after="0" w:line="560" w:lineRule="exact"/>
        <w:jc w:val="left"/>
        <w:rPr>
          <w:rFonts w:ascii="仿宋_GB2312" w:eastAsia="仿宋_GB2312"/>
          <w:b/>
          <w:sz w:val="28"/>
          <w:szCs w:val="28"/>
          <w:highlight w:val="yellow"/>
        </w:rPr>
      </w:pPr>
    </w:p>
    <w:p/>
    <w:p/>
    <w:p/>
    <w:p/>
    <w:p>
      <w:pPr>
        <w:tabs>
          <w:tab w:val="left" w:pos="1086"/>
        </w:tabs>
        <w:jc w:val="left"/>
        <w:rPr>
          <w:rFonts w:ascii="仿宋_GB2312" w:eastAsia="仿宋_GB2312"/>
          <w:b/>
          <w:sz w:val="28"/>
          <w:szCs w:val="28"/>
          <w:highlight w:val="yellow"/>
        </w:rPr>
        <w:sectPr>
          <w:pgSz w:w="11906" w:h="16838"/>
          <w:pgMar w:top="2098" w:right="1474" w:bottom="1984" w:left="1588" w:header="851" w:footer="992" w:gutter="0"/>
          <w:docGrid w:type="lines" w:linePitch="312" w:charSpace="0"/>
        </w:sectPr>
      </w:pPr>
      <w:r>
        <w:rPr>
          <w:rFonts w:hint="eastAsia"/>
        </w:rPr>
        <w:tab/>
      </w:r>
    </w:p>
    <w:p>
      <w:pPr>
        <w:rPr>
          <w:rFonts w:ascii="宋体" w:cs="ArialUnicodeMS"/>
          <w:color w:val="000000"/>
          <w:kern w:val="0"/>
        </w:rPr>
        <w:sectPr>
          <w:pgSz w:w="11906" w:h="16838"/>
          <w:pgMar w:top="2098" w:right="1474" w:bottom="1984" w:left="1588" w:header="851" w:footer="992" w:gutter="0"/>
          <w:docGrid w:type="lines" w:linePitch="312" w:charSpace="0"/>
        </w:sectPr>
      </w:pPr>
      <w:r>
        <w:rPr>
          <w:rFonts w:ascii="宋体" w:cs="ArialUnicodeMS" w:hint="eastAsia"/>
          <w:color w:val="000000"/>
          <w:kern w:val="0"/>
        </w:rPr>
        <w:drawing>
          <wp:anchor distT="0" distB="0" distL="0" distR="0" simplePos="0" relativeHeight="10" behindDoc="1" locked="0" layoutInCell="1" hidden="0" allowOverlap="1">
            <wp:simplePos x="0" y="0"/>
            <wp:positionH relativeFrom="column">
              <wp:posOffset>-1009013</wp:posOffset>
            </wp:positionH>
            <wp:positionV relativeFrom="paragraph">
              <wp:posOffset>-1337945</wp:posOffset>
            </wp:positionV>
            <wp:extent cx="7550149" cy="10680065"/>
            <wp:effectExtent l="0" t="0" r="0" b="0"/>
            <wp:wrapNone/>
            <wp:docPr id="122" name="图片 4"/>
            <wp:cNvGraphicFramePr>
              <a:graphicFrameLocks noChangeAspect="0"/>
            </wp:cNvGraphicFramePr>
            <a:graphic>
              <a:graphicData uri="http://schemas.openxmlformats.org/drawingml/2006/picture">
                <pic:pic>
                  <pic:nvPicPr>
                    <pic:cNvPr id="123" name="图片 4 123"/>
                    <pic:cNvPicPr/>
                  </pic:nvPicPr>
                  <pic:blipFill>
                    <a:blip r:embed="rId5"/>
                    <a:stretch>
                      <a:fillRect/>
                    </a:stretch>
                  </pic:blipFill>
                  <pic:spPr>
                    <a:xfrm rot="0">
                      <a:off x="0" y="0"/>
                      <a:ext cx="7550149" cy="10680065"/>
                    </a:xfrm>
                    <a:prstGeom prst="rect"/>
                    <a:noFill/>
                    <a:ln w="9525" cmpd="sng" cap="flat">
                      <a:noFill/>
                      <a:prstDash val="solid"/>
                      <a:miter/>
                    </a:ln>
                  </pic:spPr>
                </pic:pic>
              </a:graphicData>
            </a:graphic>
          </wp:anchor>
        </w:drawing>
      </w:r>
      <w:r>
        <w:rPr>
          <w:sz w:val="72"/>
        </w:rPr>
        <mc:AlternateContent>
          <mc:Choice Requires="wps">
            <w:drawing>
              <wp:anchor distT="0" distB="0" distL="91438" distR="91438" simplePos="0" relativeHeight="75" behindDoc="0" locked="0" layoutInCell="1" hidden="0" allowOverlap="1">
                <wp:simplePos x="0" y="0"/>
                <wp:positionH relativeFrom="column">
                  <wp:posOffset>-999490</wp:posOffset>
                </wp:positionH>
                <wp:positionV relativeFrom="paragraph">
                  <wp:posOffset>2956560</wp:posOffset>
                </wp:positionV>
                <wp:extent cx="7571740" cy="2020569"/>
                <wp:effectExtent l="0" t="0" r="0" b="0"/>
                <wp:wrapNone/>
                <wp:docPr id="124" name="1072"/>
                <wp:cNvGraphicFramePr>
                  <a:graphicFrameLocks noChangeAspect="0"/>
                </wp:cNvGraphicFramePr>
                <a:graphic>
                  <a:graphicData uri="http://schemas.microsoft.com/office/word/2010/wordprocessingShape">
                    <wps:wsp>
                      <wps:cNvSpPr/>
                      <wps:spPr>
                        <a:xfrm rot="0">
                          <a:off x="0" y="0"/>
                          <a:ext cx="7571740" cy="2020569"/>
                        </a:xfrm>
                        <a:prstGeom prst="rect"/>
                        <a:noFill/>
                        <a:ln w="9525" cmpd="sng" cap="flat">
                          <a:noFill/>
                          <a:prstDash val="solid"/>
                          <a:miter/>
                        </a:ln>
                      </wps:spPr>
                      <wps:txbx id="125">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第三部分</w:t>
                            </w:r>
                          </w:p>
                          <w:p>
                            <w:pPr>
                              <w:widowControl/>
                              <w:spacing w:line="1200" w:lineRule="exact"/>
                              <w:jc w:val="center"/>
                              <w:rPr>
                                <w:color w:val="FDEFBE"/>
                                <w:sz w:val="96"/>
                                <w:szCs w:val="96"/>
                              </w:rPr>
                            </w:pPr>
                            <w:r>
                              <w:rPr>
                                <w:rFonts w:ascii="黑体" w:eastAsia="黑体" w:hint="eastAsia"/>
                                <w:color w:val="FDEFBE"/>
                                <w:sz w:val="96"/>
                                <w:szCs w:val="96"/>
                              </w:rPr>
                              <w:t>部门决算情况说明</w:t>
                            </w:r>
                          </w:p>
                        </w:txbxContent>
                      </wps:txbx>
                      <wps:bodyPr vert="horz" wrap="square" lIns="91440" tIns="45720" rIns="91440" bIns="45720" anchor="t" anchorCtr="0" upright="1">
                        <a:noAutofit/>
                      </wps:bodyPr>
                    </wps:wsp>
                  </a:graphicData>
                </a:graphic>
              </wp:anchor>
            </w:drawing>
          </mc:Choice>
          <mc:Fallback>
            <w:pict>
              <v:rect type="#_x0000_t1" id="1072 126" o:spid="_x0000_s126" filled="f" stroked="f" style="position:absolute;margin-left:-78.7pt;margin-top:232.8pt;width:596.2pt;height:159.09998pt;z-index:75;mso-position-horizontal:absolute;mso-position-vertical:absolute;mso-wrap-distance-left:7.19989pt;mso-wrap-distance-right:7.19989pt;mso-wrap-style:square;">
                <v:stroke color="#000000"/>
                <v:textbox id="875" inset="2.54mm,1.27mm,2.54mm,1.27mm" o:insetmode="custom" style="layout-flow:horizontal;v-text-anchor:top;">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第三部分</w:t>
                      </w:r>
                    </w:p>
                    <w:p>
                      <w:pPr>
                        <w:widowControl/>
                        <w:spacing w:line="1200" w:lineRule="exact"/>
                        <w:jc w:val="center"/>
                        <w:rPr>
                          <w:color w:val="FDEFBE"/>
                          <w:sz w:val="96"/>
                          <w:szCs w:val="96"/>
                        </w:rPr>
                      </w:pPr>
                      <w:r>
                        <w:rPr>
                          <w:rFonts w:ascii="黑体" w:eastAsia="黑体" w:hint="eastAsia"/>
                          <w:color w:val="FDEFBE"/>
                          <w:sz w:val="96"/>
                          <w:szCs w:val="96"/>
                        </w:rPr>
                        <w:t>部门决算情况说明</w:t>
                      </w:r>
                    </w:p>
                  </w:txbxContent>
                </v:textbox>
              </v:rect>
            </w:pict>
          </mc:Fallback>
        </mc:AlternateContent>
      </w:r>
    </w:p>
    <w:p>
      <w:pPr>
        <w:pStyle w:val="2"/>
        <w:spacing w:before="0" w:after="0" w:line="580" w:lineRule="exact"/>
        <w:ind w:firstLineChars="200" w:firstLine="640"/>
        <w:rPr>
          <w:rFonts w:ascii="黑体" w:eastAsia="黑体"/>
          <w:b w:val="0"/>
          <w:bCs w:val="0"/>
        </w:rPr>
      </w:pPr>
      <w:r>
        <w:rPr>
          <w:rFonts w:ascii="黑体" w:eastAsia="黑体" w:hint="eastAsia"/>
          <w:b w:val="0"/>
          <w:bCs w:val="0"/>
        </w:rPr>
        <w:t>一、收入</w:t>
      </w:r>
      <w:r>
        <w:rPr>
          <w:rFonts w:ascii="黑体" w:eastAsia="黑体" w:cs="黑体" w:hint="eastAsia"/>
          <w:b w:val="0"/>
          <w:bCs w:val="0"/>
          <w:kern w:val="0"/>
        </w:rPr>
        <w:t>支出</w:t>
      </w:r>
      <w:r>
        <w:rPr>
          <w:rFonts w:ascii="黑体" w:eastAsia="黑体" w:hint="eastAsia"/>
          <w:b w:val="0"/>
          <w:bCs w:val="0"/>
        </w:rPr>
        <w:t>决算总体情况说明</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2018年丰南区文化馆年初结转和结余</w:t>
      </w:r>
      <w:r>
        <w:rPr>
          <w:rFonts w:ascii="宋体" w:eastAsia="宋体" w:cs="DengXian-Regular" w:hint="eastAsia"/>
          <w:sz w:val="32"/>
          <w:szCs w:val="32"/>
          <w:lang w:val="en-US" w:eastAsia="zh-CN"/>
        </w:rPr>
        <w:t>0.</w:t>
      </w:r>
      <w:r>
        <w:rPr>
          <w:rFonts w:ascii="宋体" w:eastAsia="宋体" w:cs="DengXian-Regular" w:hint="eastAsia"/>
          <w:sz w:val="32"/>
          <w:szCs w:val="32"/>
        </w:rPr>
        <w:t>87</w:t>
      </w:r>
      <w:r>
        <w:rPr>
          <w:rFonts w:ascii="宋体" w:eastAsia="宋体" w:cs="DengXian-Regular" w:hint="eastAsia"/>
          <w:sz w:val="32"/>
          <w:szCs w:val="32"/>
          <w:lang w:eastAsia="zh-CN"/>
        </w:rPr>
        <w:t>万</w:t>
      </w:r>
      <w:r>
        <w:rPr>
          <w:rFonts w:ascii="宋体" w:eastAsia="宋体" w:cs="DengXian-Regular" w:hint="eastAsia"/>
          <w:sz w:val="32"/>
          <w:szCs w:val="32"/>
        </w:rPr>
        <w:t>元，决算收入总计433</w:t>
      </w:r>
      <w:r>
        <w:rPr>
          <w:rFonts w:ascii="宋体" w:eastAsia="宋体" w:cs="DengXian-Regular" w:hint="eastAsia"/>
          <w:sz w:val="32"/>
          <w:szCs w:val="32"/>
          <w:lang w:val="en-US" w:eastAsia="zh-CN"/>
        </w:rPr>
        <w:t>.</w:t>
      </w:r>
      <w:r>
        <w:rPr>
          <w:rFonts w:ascii="宋体" w:eastAsia="宋体" w:cs="DengXian-Regular" w:hint="eastAsia"/>
          <w:sz w:val="32"/>
          <w:szCs w:val="32"/>
        </w:rPr>
        <w:t>82</w:t>
      </w:r>
      <w:r>
        <w:rPr>
          <w:rFonts w:ascii="宋体" w:eastAsia="宋体" w:cs="DengXian-Regular" w:hint="eastAsia"/>
          <w:sz w:val="32"/>
          <w:szCs w:val="32"/>
          <w:lang w:eastAsia="zh-CN"/>
        </w:rPr>
        <w:t>万</w:t>
      </w:r>
      <w:r>
        <w:rPr>
          <w:rFonts w:ascii="宋体" w:eastAsia="宋体" w:cs="DengXian-Regular" w:hint="eastAsia"/>
          <w:sz w:val="32"/>
          <w:szCs w:val="32"/>
        </w:rPr>
        <w:t>元，决算支出总计433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元。与2017年相比，决算收入增加55</w:t>
      </w:r>
      <w:r>
        <w:rPr>
          <w:rFonts w:ascii="宋体" w:eastAsia="宋体" w:cs="DengXian-Regular" w:hint="eastAsia"/>
          <w:sz w:val="32"/>
          <w:szCs w:val="32"/>
          <w:lang w:val="en-US" w:eastAsia="zh-CN"/>
        </w:rPr>
        <w:t>.</w:t>
      </w:r>
      <w:r>
        <w:rPr>
          <w:rFonts w:ascii="宋体" w:eastAsia="宋体" w:cs="DengXian-Regular" w:hint="eastAsia"/>
          <w:sz w:val="32"/>
          <w:szCs w:val="32"/>
        </w:rPr>
        <w:t>8</w:t>
      </w:r>
      <w:r>
        <w:rPr>
          <w:rFonts w:ascii="宋体" w:eastAsia="宋体" w:cs="DengXian-Regular" w:hint="eastAsia"/>
          <w:sz w:val="32"/>
          <w:szCs w:val="32"/>
          <w:lang w:val="en-US" w:eastAsia="zh-CN"/>
        </w:rPr>
        <w:t>4万</w:t>
      </w:r>
      <w:r>
        <w:rPr>
          <w:rFonts w:ascii="宋体" w:eastAsia="宋体" w:cs="DengXian-Regular" w:hint="eastAsia"/>
          <w:sz w:val="32"/>
          <w:szCs w:val="32"/>
        </w:rPr>
        <w:t>元，增长14.77%，支出增加51</w:t>
      </w:r>
      <w:r>
        <w:rPr>
          <w:rFonts w:ascii="宋体" w:eastAsia="宋体" w:cs="DengXian-Regular" w:hint="eastAsia"/>
          <w:sz w:val="32"/>
          <w:szCs w:val="32"/>
          <w:lang w:val="en-US" w:eastAsia="zh-CN"/>
        </w:rPr>
        <w:t>.</w:t>
      </w:r>
      <w:r>
        <w:rPr>
          <w:rFonts w:ascii="宋体" w:eastAsia="宋体" w:cs="DengXian-Regular" w:hint="eastAsia"/>
          <w:sz w:val="32"/>
          <w:szCs w:val="32"/>
        </w:rPr>
        <w:t>0</w:t>
      </w:r>
      <w:r>
        <w:rPr>
          <w:rFonts w:ascii="宋体" w:eastAsia="宋体" w:cs="DengXian-Regular" w:hint="eastAsia"/>
          <w:sz w:val="32"/>
          <w:szCs w:val="32"/>
          <w:lang w:val="en-US" w:eastAsia="zh-CN"/>
        </w:rPr>
        <w:t>7万</w:t>
      </w:r>
      <w:r>
        <w:rPr>
          <w:rFonts w:ascii="宋体" w:eastAsia="宋体" w:cs="DengXian-Regular" w:hint="eastAsia"/>
          <w:sz w:val="32"/>
          <w:szCs w:val="32"/>
        </w:rPr>
        <w:t>元，增长13.34 % ，增加的原因为：增加职工工资福利。决算收入总计中，含用事业基金弥补收支差额0</w:t>
      </w:r>
      <w:r>
        <w:rPr>
          <w:rFonts w:ascii="宋体" w:eastAsia="宋体" w:cs="DengXian-Regular" w:hint="eastAsia"/>
          <w:sz w:val="32"/>
          <w:szCs w:val="32"/>
          <w:lang w:eastAsia="zh-CN"/>
        </w:rPr>
        <w:t>万</w:t>
      </w:r>
      <w:r>
        <w:rPr>
          <w:rFonts w:ascii="宋体" w:eastAsia="宋体" w:cs="DengXian-Regular" w:hint="eastAsia"/>
          <w:sz w:val="32"/>
          <w:szCs w:val="32"/>
        </w:rPr>
        <w:t>元；年初结转和结余</w:t>
      </w:r>
      <w:r>
        <w:rPr>
          <w:rFonts w:ascii="宋体" w:eastAsia="宋体" w:cs="DengXian-Regular" w:hint="eastAsia"/>
          <w:sz w:val="32"/>
          <w:szCs w:val="32"/>
          <w:lang w:val="en-US" w:eastAsia="zh-CN"/>
        </w:rPr>
        <w:t>0.</w:t>
      </w:r>
      <w:r>
        <w:rPr>
          <w:rFonts w:ascii="宋体" w:eastAsia="宋体" w:cs="DengXian-Regular" w:hint="eastAsia"/>
          <w:sz w:val="32"/>
          <w:szCs w:val="32"/>
        </w:rPr>
        <w:t>87</w:t>
      </w:r>
      <w:r>
        <w:rPr>
          <w:rFonts w:ascii="宋体" w:eastAsia="宋体" w:cs="DengXian-Regular" w:hint="eastAsia"/>
          <w:sz w:val="32"/>
          <w:szCs w:val="32"/>
          <w:lang w:eastAsia="zh-CN"/>
        </w:rPr>
        <w:t>万</w:t>
      </w:r>
      <w:r>
        <w:rPr>
          <w:rFonts w:ascii="宋体" w:eastAsia="宋体" w:cs="DengXian-Regular" w:hint="eastAsia"/>
          <w:sz w:val="32"/>
          <w:szCs w:val="32"/>
        </w:rPr>
        <w:t>元；决算支出总计中，含结余分配0</w:t>
      </w:r>
      <w:r>
        <w:rPr>
          <w:rFonts w:ascii="宋体" w:eastAsia="宋体" w:cs="DengXian-Regular" w:hint="eastAsia"/>
          <w:sz w:val="32"/>
          <w:szCs w:val="32"/>
          <w:lang w:eastAsia="zh-CN"/>
        </w:rPr>
        <w:t>万</w:t>
      </w:r>
      <w:r>
        <w:rPr>
          <w:rFonts w:ascii="宋体" w:eastAsia="宋体" w:cs="DengXian-Regular" w:hint="eastAsia"/>
          <w:sz w:val="32"/>
          <w:szCs w:val="32"/>
        </w:rPr>
        <w:t>元；年末结转和结余</w:t>
      </w:r>
      <w:r>
        <w:rPr>
          <w:rFonts w:ascii="宋体" w:eastAsia="宋体" w:cs="DengXian-Regular" w:hint="eastAsia"/>
          <w:sz w:val="32"/>
          <w:szCs w:val="32"/>
          <w:lang w:val="en-US" w:eastAsia="zh-CN"/>
        </w:rPr>
        <w:t>0.</w:t>
      </w:r>
      <w:r>
        <w:rPr>
          <w:rFonts w:ascii="宋体" w:eastAsia="宋体" w:cs="DengXian-Regular" w:hint="eastAsia"/>
          <w:sz w:val="32"/>
          <w:szCs w:val="32"/>
        </w:rPr>
        <w:t>85</w:t>
      </w:r>
      <w:r>
        <w:rPr>
          <w:rFonts w:ascii="宋体" w:eastAsia="宋体" w:cs="DengXian-Regular" w:hint="eastAsia"/>
          <w:sz w:val="32"/>
          <w:szCs w:val="32"/>
          <w:lang w:eastAsia="zh-CN"/>
        </w:rPr>
        <w:t>万</w:t>
      </w:r>
      <w:r>
        <w:rPr>
          <w:rFonts w:ascii="宋体" w:eastAsia="宋体" w:cs="DengXian-Regular" w:hint="eastAsia"/>
          <w:sz w:val="32"/>
          <w:szCs w:val="32"/>
        </w:rPr>
        <w:t>元。</w:t>
      </w:r>
    </w:p>
    <w:p>
      <w:pPr>
        <w:pStyle w:val="2"/>
        <w:spacing w:before="0" w:after="0" w:line="580" w:lineRule="exact"/>
        <w:ind w:firstLineChars="200" w:firstLine="640"/>
        <w:rPr>
          <w:rFonts w:ascii="黑体" w:eastAsia="黑体"/>
          <w:b w:val="0"/>
          <w:bCs w:val="0"/>
        </w:rPr>
      </w:pPr>
      <w:r>
        <w:rPr>
          <w:rFonts w:ascii="黑体" w:eastAsia="黑体" w:hint="eastAsia"/>
          <w:b w:val="0"/>
          <w:bCs w:val="0"/>
        </w:rPr>
        <w:t>二、收入决算情况说明</w:t>
      </w:r>
    </w:p>
    <w:p>
      <w:pPr>
        <w:adjustRightInd w:val="0"/>
        <w:snapToGrid w:val="0"/>
        <w:spacing w:after="0" w:line="580" w:lineRule="exact"/>
        <w:ind w:firstLineChars="200" w:firstLine="640"/>
        <w:rPr>
          <w:rFonts w:ascii="仿宋_GB2312" w:eastAsia="仿宋_GB2312" w:cs="DengXian-Regular"/>
          <w:sz w:val="32"/>
          <w:szCs w:val="32"/>
        </w:rPr>
      </w:pPr>
      <w:r>
        <w:rPr>
          <w:rFonts w:ascii="仿宋_GB2312" w:eastAsia="仿宋_GB2312" w:cs="DengXian-Regular" w:hint="eastAsia"/>
          <w:sz w:val="32"/>
          <w:szCs w:val="32"/>
        </w:rPr>
        <w:t>本部门2018年度本年收入合计</w:t>
      </w:r>
      <w:r>
        <w:rPr>
          <w:rFonts w:ascii="宋体" w:eastAsia="宋体" w:cs="DengXian-Regular" w:hint="eastAsia"/>
          <w:sz w:val="32"/>
          <w:szCs w:val="32"/>
        </w:rPr>
        <w:t>433</w:t>
      </w:r>
      <w:r>
        <w:rPr>
          <w:rFonts w:ascii="宋体" w:eastAsia="宋体" w:cs="DengXian-Regular" w:hint="eastAsia"/>
          <w:sz w:val="32"/>
          <w:szCs w:val="32"/>
          <w:lang w:val="en-US" w:eastAsia="zh-CN"/>
        </w:rPr>
        <w:t>.</w:t>
      </w:r>
      <w:r>
        <w:rPr>
          <w:rFonts w:ascii="宋体" w:eastAsia="宋体" w:cs="DengXian-Regular" w:hint="eastAsia"/>
          <w:sz w:val="32"/>
          <w:szCs w:val="32"/>
        </w:rPr>
        <w:t>82</w:t>
      </w:r>
      <w:r>
        <w:rPr>
          <w:rFonts w:ascii="宋体" w:eastAsia="宋体" w:cs="DengXian-Regular" w:hint="eastAsia"/>
          <w:sz w:val="32"/>
          <w:szCs w:val="32"/>
          <w:lang w:eastAsia="zh-CN"/>
        </w:rPr>
        <w:t>万</w:t>
      </w:r>
      <w:r>
        <w:rPr>
          <w:rFonts w:ascii="仿宋_GB2312" w:eastAsia="仿宋_GB2312" w:cs="DengXian-Regular" w:hint="eastAsia"/>
          <w:sz w:val="32"/>
          <w:szCs w:val="32"/>
        </w:rPr>
        <w:t>元，其中：财政拨款收入</w:t>
      </w:r>
      <w:r>
        <w:rPr>
          <w:rFonts w:ascii="宋体" w:eastAsia="宋体" w:cs="DengXian-Regular" w:hint="eastAsia"/>
          <w:sz w:val="32"/>
          <w:szCs w:val="32"/>
        </w:rPr>
        <w:t>433</w:t>
      </w:r>
      <w:r>
        <w:rPr>
          <w:rFonts w:ascii="宋体" w:eastAsia="宋体" w:cs="DengXian-Regular" w:hint="eastAsia"/>
          <w:sz w:val="32"/>
          <w:szCs w:val="32"/>
          <w:lang w:val="en-US" w:eastAsia="zh-CN"/>
        </w:rPr>
        <w:t>.</w:t>
      </w:r>
      <w:r>
        <w:rPr>
          <w:rFonts w:ascii="宋体" w:eastAsia="宋体" w:cs="DengXian-Regular" w:hint="eastAsia"/>
          <w:sz w:val="32"/>
          <w:szCs w:val="32"/>
        </w:rPr>
        <w:t>82</w:t>
      </w:r>
      <w:r>
        <w:rPr>
          <w:rFonts w:ascii="宋体" w:eastAsia="宋体" w:cs="DengXian-Regular" w:hint="eastAsia"/>
          <w:sz w:val="32"/>
          <w:szCs w:val="32"/>
          <w:lang w:eastAsia="zh-CN"/>
        </w:rPr>
        <w:t>万</w:t>
      </w:r>
      <w:r>
        <w:rPr>
          <w:rFonts w:ascii="仿宋_GB2312" w:eastAsia="仿宋_GB2312" w:cs="DengXian-Regular" w:hint="eastAsia"/>
          <w:sz w:val="32"/>
          <w:szCs w:val="32"/>
        </w:rPr>
        <w:t>元，占100%。如图所示：</w:t>
      </w:r>
    </w:p>
    <w:p>
      <w:pPr>
        <w:adjustRightInd w:val="0"/>
        <w:snapToGrid w:val="0"/>
        <w:spacing w:after="0" w:line="580" w:lineRule="exact"/>
        <w:ind w:firstLineChars="600" w:firstLine="1920"/>
        <w:rPr>
          <w:rFonts w:ascii="仿宋_GB2312" w:eastAsia="仿宋_GB2312" w:cs="DengXian-Regular"/>
          <w:sz w:val="32"/>
          <w:szCs w:val="32"/>
        </w:rPr>
      </w:pPr>
    </w:p>
    <w:p>
      <w:pPr>
        <w:adjustRightInd w:val="0"/>
        <w:snapToGrid w:val="0"/>
        <w:spacing w:after="0" w:line="580" w:lineRule="exact"/>
        <w:ind w:firstLineChars="600" w:firstLine="1920"/>
        <w:rPr>
          <w:rFonts w:ascii="仿宋_GB2312" w:eastAsia="仿宋_GB2312" w:cs="DengXian-Regular"/>
          <w:sz w:val="32"/>
          <w:szCs w:val="32"/>
        </w:rPr>
      </w:pPr>
    </w:p>
    <w:p>
      <w:pPr>
        <w:adjustRightInd w:val="0"/>
        <w:snapToGrid w:val="0"/>
        <w:spacing w:after="0" w:line="4000" w:lineRule="exact"/>
        <w:ind w:firstLineChars="600" w:firstLine="1920"/>
        <w:jc w:val="left"/>
        <w:rPr>
          <w:rFonts w:ascii="仿宋_GB2312" w:eastAsia="仿宋_GB2312" w:cs="DengXian-Regular"/>
          <w:sz w:val="32"/>
          <w:szCs w:val="32"/>
        </w:rPr>
      </w:pPr>
      <w:r>
        <w:rPr>
          <w:rFonts w:ascii="仿宋_GB2312" w:eastAsia="仿宋_GB2312" w:cs="DengXian-Regular" w:hint="eastAsia"/>
          <w:sz w:val="32"/>
          <w:szCs w:val="32"/>
        </w:rPr>
        <w:drawing>
          <wp:inline distT="0" distB="0" distL="0" distR="0">
            <wp:extent cx="3712845" cy="2381250"/>
            <wp:effectExtent l="0" t="0" r="38" b="37"/>
            <wp:docPr id="127" name="图片 4" descr="1564714575(1).png"/>
            <wp:cNvGraphicFramePr>
              <a:graphicFrameLocks noChangeAspect="1"/>
            </wp:cNvGraphicFramePr>
            <a:graphic>
              <a:graphicData uri="http://schemas.openxmlformats.org/drawingml/2006/picture">
                <pic:pic>
                  <pic:nvPicPr>
                    <pic:cNvPr id="129" name="图片 4 129"/>
                    <pic:cNvPicPr/>
                  </pic:nvPicPr>
                  <pic:blipFill>
                    <a:blip r:embed="rId6"/>
                    <a:stretch>
                      <a:fillRect/>
                    </a:stretch>
                  </pic:blipFill>
                  <pic:spPr>
                    <a:xfrm rot="0">
                      <a:off x="0" y="0"/>
                      <a:ext cx="3712845" cy="2381250"/>
                    </a:xfrm>
                    <a:prstGeom prst="rect"/>
                    <a:noFill/>
                    <a:ln w="9525" cmpd="sng" cap="flat">
                      <a:noFill/>
                      <a:prstDash val="solid"/>
                      <a:miter/>
                    </a:ln>
                  </pic:spPr>
                </pic:pic>
              </a:graphicData>
            </a:graphic>
          </wp:inline>
        </w:drawing>
      </w:r>
    </w:p>
    <w:p>
      <w:pPr>
        <w:adjustRightInd w:val="0"/>
        <w:snapToGrid w:val="0"/>
        <w:spacing w:after="0" w:line="400" w:lineRule="exact"/>
        <w:jc w:val="center"/>
        <w:rPr>
          <w:rFonts w:ascii="仿宋_GB2312" w:eastAsia="仿宋_GB2312" w:cs="DengXian-Regular"/>
          <w:sz w:val="32"/>
          <w:szCs w:val="32"/>
        </w:rPr>
      </w:pPr>
      <w:r>
        <w:rPr>
          <w:rFonts w:ascii="仿宋_GB2312" w:eastAsia="仿宋_GB2312" w:cs="DengXian-Regular" w:hint="eastAsia"/>
          <w:sz w:val="32"/>
          <w:szCs w:val="32"/>
        </w:rPr>
        <w:t xml:space="preserve">    图1：收入构成情况</w:t>
      </w:r>
    </w:p>
    <w:p>
      <w:pPr>
        <w:pStyle w:val="2"/>
        <w:spacing w:before="0" w:after="0" w:line="580" w:lineRule="exact"/>
        <w:ind w:firstLineChars="150" w:firstLine="480"/>
        <w:rPr>
          <w:rFonts w:ascii="黑体" w:eastAsia="黑体"/>
          <w:b w:val="0"/>
          <w:bCs w:val="0"/>
        </w:rPr>
      </w:pPr>
      <w:r>
        <w:rPr>
          <w:rFonts w:ascii="黑体" w:eastAsia="黑体" w:hint="eastAsia"/>
          <w:b w:val="0"/>
          <w:bCs w:val="0"/>
        </w:rPr>
        <w:t>三、支出决算情况说明</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本部门2018年度本年支出合计433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元，其中：基本支出381</w:t>
      </w:r>
      <w:r>
        <w:rPr>
          <w:rFonts w:ascii="宋体" w:eastAsia="宋体" w:cs="DengXian-Regular" w:hint="eastAsia"/>
          <w:sz w:val="32"/>
          <w:szCs w:val="32"/>
          <w:lang w:val="en-US" w:eastAsia="zh-CN"/>
        </w:rPr>
        <w:t>.80万</w:t>
      </w:r>
      <w:r>
        <w:rPr>
          <w:rFonts w:ascii="宋体" w:eastAsia="宋体" w:cs="DengXian-Regular" w:hint="eastAsia"/>
          <w:sz w:val="32"/>
          <w:szCs w:val="32"/>
        </w:rPr>
        <w:t>元，占88%；项目支出52</w:t>
      </w:r>
      <w:r>
        <w:rPr>
          <w:rFonts w:ascii="宋体" w:eastAsia="宋体" w:cs="DengXian-Regular" w:hint="eastAsia"/>
          <w:sz w:val="32"/>
          <w:szCs w:val="32"/>
          <w:lang w:val="en-US" w:eastAsia="zh-CN"/>
        </w:rPr>
        <w:t>.</w:t>
      </w:r>
      <w:r>
        <w:rPr>
          <w:rFonts w:ascii="宋体" w:eastAsia="宋体" w:cs="DengXian-Regular" w:hint="eastAsia"/>
          <w:sz w:val="32"/>
          <w:szCs w:val="32"/>
        </w:rPr>
        <w:t>04</w:t>
      </w:r>
      <w:r>
        <w:rPr>
          <w:rFonts w:ascii="宋体" w:eastAsia="宋体" w:cs="DengXian-Regular" w:hint="eastAsia"/>
          <w:sz w:val="32"/>
          <w:szCs w:val="32"/>
          <w:lang w:eastAsia="zh-CN"/>
        </w:rPr>
        <w:t>万</w:t>
      </w:r>
      <w:r>
        <w:rPr>
          <w:rFonts w:ascii="宋体" w:eastAsia="宋体" w:cs="DengXian-Regular" w:hint="eastAsia"/>
          <w:sz w:val="32"/>
          <w:szCs w:val="32"/>
        </w:rPr>
        <w:t>元，占12%。如图所示：</w:t>
      </w:r>
    </w:p>
    <w:p>
      <w:pPr>
        <w:adjustRightInd w:val="0"/>
        <w:snapToGrid w:val="0"/>
        <w:spacing w:after="0" w:line="580" w:lineRule="exact"/>
        <w:ind w:firstLineChars="200" w:firstLine="640"/>
        <w:rPr>
          <w:rFonts w:ascii="宋体" w:eastAsia="宋体" w:cs="DengXian-Regular"/>
          <w:sz w:val="32"/>
          <w:szCs w:val="32"/>
        </w:rPr>
      </w:pPr>
    </w:p>
    <w:p>
      <w:pPr>
        <w:adjustRightInd w:val="0"/>
        <w:snapToGrid w:val="0"/>
        <w:spacing w:after="0" w:line="3600" w:lineRule="exact"/>
        <w:ind w:firstLineChars="200" w:firstLine="640"/>
        <w:jc w:val="center"/>
        <w:rPr>
          <w:rFonts w:ascii="宋体" w:eastAsia="宋体" w:cs="DengXian-Regular"/>
          <w:sz w:val="32"/>
          <w:szCs w:val="32"/>
        </w:rPr>
      </w:pPr>
      <w:r>
        <w:rPr>
          <w:rFonts w:ascii="宋体" w:eastAsia="宋体" w:cs="DengXian-Regular"/>
          <w:sz w:val="32"/>
          <w:szCs w:val="32"/>
        </w:rPr>
        <w:drawing>
          <wp:inline distT="0" distB="0" distL="0" distR="0">
            <wp:extent cx="3489323" cy="2115820"/>
            <wp:effectExtent l="0" t="0" r="0" b="0"/>
            <wp:docPr id="130" name="图表 2"/>
            <wp:cNvGraphicFramePr>
              <a:graphicFrameLocks noChangeAspect="0"/>
            </wp:cNvGraphicFramePr>
            <a:graphic>
              <a:graphicData uri="http://schemas.openxmlformats.org/drawingml/2006/chart">
                <c:chart xmlns:c="http://schemas.openxmlformats.org/drawingml/2006/chart" r:id="rId7"/>
              </a:graphicData>
            </a:graphic>
          </wp:inline>
        </w:drawing>
      </w:r>
    </w:p>
    <w:p>
      <w:pPr>
        <w:adjustRightInd w:val="0"/>
        <w:snapToGrid w:val="0"/>
        <w:spacing w:after="0" w:line="400" w:lineRule="exact"/>
        <w:ind w:firstLineChars="200" w:firstLine="640"/>
        <w:jc w:val="center"/>
        <w:rPr>
          <w:rFonts w:ascii="宋体" w:eastAsia="宋体" w:cs="DengXian-Regular"/>
          <w:sz w:val="32"/>
          <w:szCs w:val="32"/>
        </w:rPr>
      </w:pPr>
      <w:r>
        <w:rPr>
          <w:rFonts w:ascii="宋体" w:eastAsia="宋体" w:cs="DengXian-Regular" w:hint="eastAsia"/>
          <w:sz w:val="32"/>
          <w:szCs w:val="32"/>
        </w:rPr>
        <w:t>图2：支出构成情况（按支出性质）</w:t>
      </w:r>
    </w:p>
    <w:p>
      <w:pPr>
        <w:pStyle w:val="2"/>
        <w:spacing w:before="0" w:after="0" w:line="580" w:lineRule="exact"/>
        <w:ind w:firstLineChars="200" w:firstLine="640"/>
        <w:rPr>
          <w:rFonts w:ascii="黑体" w:eastAsia="黑体"/>
          <w:b w:val="0"/>
          <w:bCs w:val="0"/>
        </w:rPr>
      </w:pPr>
      <w:r>
        <w:rPr>
          <w:rFonts w:ascii="黑体" w:eastAsia="黑体" w:hint="eastAsia"/>
          <w:b w:val="0"/>
          <w:bCs w:val="0"/>
        </w:rPr>
        <w:t>四、</w:t>
      </w:r>
      <w:r>
        <w:rPr>
          <w:rFonts w:ascii="黑体" w:eastAsia="黑体" w:cs="黑体" w:hint="eastAsia"/>
          <w:b w:val="0"/>
          <w:bCs w:val="0"/>
          <w:kern w:val="0"/>
        </w:rPr>
        <w:t>财政</w:t>
      </w:r>
      <w:r>
        <w:rPr>
          <w:rFonts w:ascii="黑体" w:eastAsia="黑体" w:hint="eastAsia"/>
          <w:b w:val="0"/>
          <w:bCs w:val="0"/>
        </w:rPr>
        <w:t>拨款收入支出决算总体情况说明</w:t>
      </w:r>
    </w:p>
    <w:p>
      <w:pPr>
        <w:spacing w:after="0" w:line="580" w:lineRule="exact"/>
        <w:ind w:firstLineChars="250" w:firstLine="800"/>
        <w:rPr>
          <w:rFonts w:ascii="楷体_GB2312" w:eastAsia="楷体_GB2312" w:cs="DengXian-Bold"/>
          <w:b/>
          <w:bCs/>
          <w:sz w:val="32"/>
          <w:szCs w:val="32"/>
        </w:rPr>
      </w:pPr>
      <w:r>
        <w:rPr>
          <w:rFonts w:ascii="楷体_GB2312" w:eastAsia="楷体_GB2312" w:cs="DengXian-Bold" w:hint="eastAsia"/>
          <w:b/>
          <w:bCs/>
          <w:sz w:val="32"/>
          <w:szCs w:val="32"/>
        </w:rPr>
        <w:t>（一）财政拨款收支与2017 年度决算对比情况</w:t>
      </w:r>
    </w:p>
    <w:p>
      <w:pPr>
        <w:spacing w:after="0" w:line="200" w:lineRule="exact"/>
        <w:ind w:firstLineChars="200" w:firstLine="640"/>
        <w:rPr>
          <w:rFonts w:ascii="楷体_GB2312" w:eastAsia="楷体_GB2312" w:cs="DengXian-Bold"/>
          <w:b/>
          <w:bCs/>
          <w:sz w:val="32"/>
          <w:szCs w:val="32"/>
        </w:rPr>
      </w:pPr>
    </w:p>
    <w:p>
      <w:pPr>
        <w:adjustRightInd w:val="0"/>
        <w:snapToGrid w:val="0"/>
        <w:spacing w:after="0" w:line="4000" w:lineRule="exact"/>
        <w:ind w:firstLineChars="200" w:firstLine="640"/>
        <w:jc w:val="center"/>
        <w:rPr>
          <w:rFonts w:ascii="仿宋_GB2312" w:eastAsia="仿宋_GB2312" w:cs="DengXian-Regular"/>
          <w:sz w:val="32"/>
          <w:szCs w:val="32"/>
        </w:rPr>
      </w:pPr>
      <w:r>
        <w:rPr>
          <w:rFonts w:ascii="仿宋_GB2312" w:eastAsia="仿宋_GB2312" w:cs="DengXian-Regular"/>
          <w:sz w:val="32"/>
          <w:szCs w:val="32"/>
        </w:rPr>
        <w:drawing>
          <wp:inline distT="0" distB="0" distL="0" distR="0">
            <wp:extent cx="3872229" cy="2233295"/>
            <wp:effectExtent l="0" t="0" r="6" b="3"/>
            <wp:docPr id="131" name="图片 8" descr="1.png"/>
            <wp:cNvGraphicFramePr>
              <a:graphicFrameLocks noChangeAspect="1"/>
            </wp:cNvGraphicFramePr>
            <a:graphic>
              <a:graphicData uri="http://schemas.openxmlformats.org/drawingml/2006/picture">
                <pic:pic>
                  <pic:nvPicPr>
                    <pic:cNvPr id="133" name="图片 8 133"/>
                    <pic:cNvPicPr/>
                  </pic:nvPicPr>
                  <pic:blipFill>
                    <a:blip r:embed="rId8"/>
                    <a:stretch>
                      <a:fillRect/>
                    </a:stretch>
                  </pic:blipFill>
                  <pic:spPr>
                    <a:xfrm rot="0">
                      <a:off x="0" y="0"/>
                      <a:ext cx="3872229" cy="2233295"/>
                    </a:xfrm>
                    <a:prstGeom prst="rect"/>
                    <a:noFill/>
                    <a:ln w="9525" cmpd="sng" cap="flat">
                      <a:noFill/>
                      <a:prstDash val="solid"/>
                      <a:miter/>
                    </a:ln>
                  </pic:spPr>
                </pic:pic>
              </a:graphicData>
            </a:graphic>
          </wp:inline>
        </w:drawing>
      </w:r>
    </w:p>
    <w:p>
      <w:pPr>
        <w:adjustRightInd w:val="0"/>
        <w:snapToGrid w:val="0"/>
        <w:spacing w:line="300" w:lineRule="exact"/>
        <w:jc w:val="center"/>
        <w:rPr>
          <w:rFonts w:ascii="仿宋_GB2312" w:eastAsia="仿宋_GB2312" w:cs="DengXian-Regular"/>
          <w:sz w:val="28"/>
          <w:szCs w:val="28"/>
        </w:rPr>
      </w:pPr>
      <w:r>
        <w:rPr>
          <w:rFonts w:ascii="仿宋_GB2312" w:eastAsia="仿宋_GB2312" w:cs="DengXian-Regular" w:hint="eastAsia"/>
          <w:sz w:val="28"/>
          <w:szCs w:val="28"/>
        </w:rPr>
        <w:t>图3：2017-2018年财政拨款收支出情况</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本部门2018年度形成的财政拨款收支均为一般公共预算财政拨款，其中一般公共预算财政拨款本年收入433</w:t>
      </w:r>
      <w:r>
        <w:rPr>
          <w:rFonts w:ascii="宋体" w:eastAsia="宋体" w:cs="DengXian-Regular" w:hint="eastAsia"/>
          <w:sz w:val="32"/>
          <w:szCs w:val="32"/>
          <w:lang w:val="en-US" w:eastAsia="zh-CN"/>
        </w:rPr>
        <w:t>.</w:t>
      </w:r>
      <w:r>
        <w:rPr>
          <w:rFonts w:ascii="宋体" w:eastAsia="宋体" w:cs="DengXian-Regular" w:hint="eastAsia"/>
          <w:sz w:val="32"/>
          <w:szCs w:val="32"/>
        </w:rPr>
        <w:t>82</w:t>
      </w:r>
      <w:r>
        <w:rPr>
          <w:rFonts w:ascii="宋体" w:eastAsia="宋体" w:cs="DengXian-Regular" w:hint="eastAsia"/>
          <w:sz w:val="32"/>
          <w:szCs w:val="32"/>
          <w:lang w:eastAsia="zh-CN"/>
        </w:rPr>
        <w:t>万</w:t>
      </w:r>
      <w:r>
        <w:rPr>
          <w:rFonts w:ascii="宋体" w:eastAsia="宋体" w:cs="DengXian-Regular" w:hint="eastAsia"/>
          <w:sz w:val="32"/>
          <w:szCs w:val="32"/>
        </w:rPr>
        <w:t>元,比2017年度增加55</w:t>
      </w:r>
      <w:r>
        <w:rPr>
          <w:rFonts w:ascii="宋体" w:eastAsia="宋体" w:cs="DengXian-Regular" w:hint="eastAsia"/>
          <w:sz w:val="32"/>
          <w:szCs w:val="32"/>
          <w:lang w:val="en-US" w:eastAsia="zh-CN"/>
        </w:rPr>
        <w:t>.</w:t>
      </w:r>
      <w:r>
        <w:rPr>
          <w:rFonts w:ascii="宋体" w:eastAsia="宋体" w:cs="DengXian-Regular" w:hint="eastAsia"/>
          <w:sz w:val="32"/>
          <w:szCs w:val="32"/>
        </w:rPr>
        <w:t>8</w:t>
      </w:r>
      <w:r>
        <w:rPr>
          <w:rFonts w:ascii="宋体" w:eastAsia="宋体" w:cs="DengXian-Regular" w:hint="eastAsia"/>
          <w:sz w:val="32"/>
          <w:szCs w:val="32"/>
          <w:lang w:val="en-US" w:eastAsia="zh-CN"/>
        </w:rPr>
        <w:t>4万</w:t>
      </w:r>
      <w:r>
        <w:rPr>
          <w:rFonts w:ascii="宋体" w:eastAsia="宋体" w:cs="DengXian-Regular" w:hint="eastAsia"/>
          <w:sz w:val="32"/>
          <w:szCs w:val="32"/>
        </w:rPr>
        <w:t>元，增长14.77%，主要是增加职工工资福利；本年支出433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元，增加51</w:t>
      </w:r>
      <w:r>
        <w:rPr>
          <w:rFonts w:ascii="宋体" w:eastAsia="宋体" w:cs="DengXian-Regular" w:hint="eastAsia"/>
          <w:sz w:val="32"/>
          <w:szCs w:val="32"/>
          <w:lang w:val="en-US" w:eastAsia="zh-CN"/>
        </w:rPr>
        <w:t>.</w:t>
      </w:r>
      <w:r>
        <w:rPr>
          <w:rFonts w:ascii="宋体" w:eastAsia="宋体" w:cs="DengXian-Regular" w:hint="eastAsia"/>
          <w:sz w:val="32"/>
          <w:szCs w:val="32"/>
        </w:rPr>
        <w:t>0</w:t>
      </w:r>
      <w:r>
        <w:rPr>
          <w:rFonts w:ascii="宋体" w:eastAsia="宋体" w:cs="DengXian-Regular" w:hint="eastAsia"/>
          <w:sz w:val="32"/>
          <w:szCs w:val="32"/>
          <w:lang w:val="en-US" w:eastAsia="zh-CN"/>
        </w:rPr>
        <w:t>7万</w:t>
      </w:r>
      <w:r>
        <w:rPr>
          <w:rFonts w:ascii="宋体" w:eastAsia="宋体" w:cs="DengXian-Regular" w:hint="eastAsia"/>
          <w:sz w:val="32"/>
          <w:szCs w:val="32"/>
        </w:rPr>
        <w:t>元，增长13.34%，主要是增加职工工资福利。</w:t>
      </w:r>
    </w:p>
    <w:p>
      <w:pPr>
        <w:spacing w:after="0" w:line="580" w:lineRule="exact"/>
        <w:ind w:firstLineChars="200" w:firstLine="640"/>
        <w:rPr>
          <w:rFonts w:ascii="仿宋_GB2312" w:eastAsia="仿宋_GB2312" w:cs="DengXian-Bold"/>
          <w:b/>
          <w:bCs/>
          <w:sz w:val="32"/>
          <w:szCs w:val="32"/>
        </w:rPr>
      </w:pPr>
      <w:r>
        <w:rPr>
          <w:rFonts w:ascii="楷体_GB2312" w:eastAsia="楷体_GB2312" w:cs="DengXian-Bold" w:hint="eastAsia"/>
          <w:b/>
          <w:bCs/>
          <w:sz w:val="32"/>
          <w:szCs w:val="32"/>
        </w:rPr>
        <w:t>（二）财政拨款收支与年初预算数对比情况</w:t>
      </w:r>
    </w:p>
    <w:p>
      <w:pPr>
        <w:adjustRightInd w:val="0"/>
        <w:snapToGrid w:val="0"/>
        <w:spacing w:after="0" w:line="580" w:lineRule="exact"/>
        <w:ind w:firstLineChars="300" w:firstLine="960"/>
        <w:rPr>
          <w:rFonts w:ascii="宋体" w:eastAsia="宋体" w:cs="DengXian-Regular"/>
          <w:sz w:val="32"/>
          <w:szCs w:val="32"/>
        </w:rPr>
      </w:pPr>
      <w:r>
        <w:rPr>
          <w:rFonts w:ascii="宋体" w:eastAsia="宋体" w:cs="DengXian-Regular" w:hint="eastAsia"/>
          <w:sz w:val="32"/>
          <w:szCs w:val="32"/>
        </w:rPr>
        <w:t>本部门2018年度一般公共预算财政拨款收入433</w:t>
      </w:r>
      <w:r>
        <w:rPr>
          <w:rFonts w:ascii="宋体" w:eastAsia="宋体" w:cs="DengXian-Regular" w:hint="eastAsia"/>
          <w:sz w:val="32"/>
          <w:szCs w:val="32"/>
          <w:lang w:val="en-US" w:eastAsia="zh-CN"/>
        </w:rPr>
        <w:t>.</w:t>
      </w:r>
      <w:r>
        <w:rPr>
          <w:rFonts w:ascii="宋体" w:eastAsia="宋体" w:cs="DengXian-Regular" w:hint="eastAsia"/>
          <w:sz w:val="32"/>
          <w:szCs w:val="32"/>
        </w:rPr>
        <w:t>82</w:t>
      </w:r>
      <w:r>
        <w:rPr>
          <w:rFonts w:ascii="宋体" w:eastAsia="宋体" w:cs="DengXian-Regular" w:hint="eastAsia"/>
          <w:sz w:val="32"/>
          <w:szCs w:val="32"/>
          <w:lang w:eastAsia="zh-CN"/>
        </w:rPr>
        <w:t>万</w:t>
      </w:r>
      <w:r>
        <w:rPr>
          <w:rFonts w:ascii="宋体" w:eastAsia="宋体" w:cs="DengXian-Regular" w:hint="eastAsia"/>
          <w:sz w:val="32"/>
          <w:szCs w:val="32"/>
        </w:rPr>
        <w:t>元，完成年初预算的102.69%（如图4）,比年初预算增加11</w:t>
      </w:r>
      <w:r>
        <w:rPr>
          <w:rFonts w:ascii="宋体" w:eastAsia="宋体" w:cs="DengXian-Regular" w:hint="eastAsia"/>
          <w:sz w:val="32"/>
          <w:szCs w:val="32"/>
          <w:lang w:val="en-US" w:eastAsia="zh-CN"/>
        </w:rPr>
        <w:t>.</w:t>
      </w:r>
      <w:r>
        <w:rPr>
          <w:rFonts w:ascii="宋体" w:eastAsia="宋体" w:cs="DengXian-Regular" w:hint="eastAsia"/>
          <w:sz w:val="32"/>
          <w:szCs w:val="32"/>
        </w:rPr>
        <w:t>35</w:t>
      </w:r>
      <w:r>
        <w:rPr>
          <w:rFonts w:ascii="宋体" w:eastAsia="宋体" w:cs="DengXian-Regular" w:hint="eastAsia"/>
          <w:sz w:val="32"/>
          <w:szCs w:val="32"/>
          <w:lang w:eastAsia="zh-CN"/>
        </w:rPr>
        <w:t>万</w:t>
      </w:r>
      <w:r>
        <w:rPr>
          <w:rFonts w:ascii="宋体" w:eastAsia="宋体" w:cs="DengXian-Regular" w:hint="eastAsia"/>
          <w:sz w:val="32"/>
          <w:szCs w:val="32"/>
        </w:rPr>
        <w:t>元，决算数大于预算数主要原因是增加职工工资福利；本年支出433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元，完成年初预算的102.69%,比年初预算增加11</w:t>
      </w:r>
      <w:r>
        <w:rPr>
          <w:rFonts w:ascii="宋体" w:eastAsia="宋体" w:cs="DengXian-Regular" w:hint="eastAsia"/>
          <w:sz w:val="32"/>
          <w:szCs w:val="32"/>
          <w:lang w:val="en-US" w:eastAsia="zh-CN"/>
        </w:rPr>
        <w:t>.</w:t>
      </w:r>
      <w:r>
        <w:rPr>
          <w:rFonts w:ascii="宋体" w:eastAsia="宋体" w:cs="DengXian-Regular" w:hint="eastAsia"/>
          <w:sz w:val="32"/>
          <w:szCs w:val="32"/>
        </w:rPr>
        <w:t>37</w:t>
      </w:r>
      <w:r>
        <w:rPr>
          <w:rFonts w:ascii="宋体" w:eastAsia="宋体" w:cs="DengXian-Regular" w:hint="eastAsia"/>
          <w:sz w:val="32"/>
          <w:szCs w:val="32"/>
          <w:lang w:eastAsia="zh-CN"/>
        </w:rPr>
        <w:t>万</w:t>
      </w:r>
      <w:r>
        <w:rPr>
          <w:rFonts w:ascii="宋体" w:eastAsia="宋体" w:cs="DengXian-Regular" w:hint="eastAsia"/>
          <w:sz w:val="32"/>
          <w:szCs w:val="32"/>
        </w:rPr>
        <w:t>元，决算数大于预算数主要原因是增加职工工资福利。</w:t>
      </w:r>
    </w:p>
    <w:p>
      <w:pPr>
        <w:adjustRightInd w:val="0"/>
        <w:snapToGrid w:val="0"/>
        <w:spacing w:after="0" w:line="580" w:lineRule="exact"/>
        <w:ind w:firstLineChars="300" w:firstLine="960"/>
        <w:rPr>
          <w:rFonts w:ascii="宋体" w:eastAsia="宋体" w:cs="DengXian-Regular"/>
          <w:sz w:val="32"/>
          <w:szCs w:val="32"/>
        </w:rPr>
      </w:pPr>
    </w:p>
    <w:p>
      <w:pPr>
        <w:adjustRightInd w:val="0"/>
        <w:snapToGrid w:val="0"/>
        <w:spacing w:after="0" w:line="4900" w:lineRule="exact"/>
        <w:ind w:firstLineChars="200" w:firstLine="640"/>
        <w:jc w:val="center"/>
        <w:rPr>
          <w:rFonts w:ascii="仿宋_GB2312" w:eastAsia="仿宋_GB2312" w:cs="DengXian-Regular"/>
          <w:sz w:val="32"/>
          <w:szCs w:val="32"/>
          <w:highlight w:val="yellow"/>
        </w:rPr>
      </w:pPr>
      <w:r>
        <w:rPr>
          <w:rFonts w:ascii="仿宋_GB2312" w:eastAsia="仿宋_GB2312" w:cs="DengXian-Regular"/>
          <w:sz w:val="32"/>
          <w:szCs w:val="32"/>
        </w:rPr>
        <w:drawing>
          <wp:inline distT="0" distB="0" distL="0" distR="0">
            <wp:extent cx="4572000" cy="2743200"/>
            <wp:effectExtent l="0" t="0" r="0" b="0"/>
            <wp:docPr id="134" name="图表 1"/>
            <wp:cNvGraphicFramePr>
              <a:graphicFrameLocks noChangeAspect="0"/>
            </wp:cNvGraphicFramePr>
            <a:graphic>
              <a:graphicData uri="http://schemas.openxmlformats.org/drawingml/2006/chart">
                <c:chart xmlns:c="http://schemas.openxmlformats.org/drawingml/2006/chart" r:id="rId9"/>
              </a:graphicData>
            </a:graphic>
          </wp:inline>
        </w:drawing>
      </w:r>
    </w:p>
    <w:p>
      <w:pPr>
        <w:adjustRightInd w:val="0"/>
        <w:snapToGrid w:val="0"/>
        <w:spacing w:line="300" w:lineRule="exact"/>
        <w:jc w:val="center"/>
        <w:rPr>
          <w:rFonts w:ascii="仿宋_GB2312" w:eastAsia="仿宋_GB2312" w:cs="DengXian-Regular"/>
          <w:sz w:val="28"/>
          <w:szCs w:val="28"/>
        </w:rPr>
      </w:pPr>
      <w:r>
        <w:rPr>
          <w:rFonts w:ascii="仿宋_GB2312" w:eastAsia="仿宋_GB2312" w:cs="DengXian-Regular" w:hint="eastAsia"/>
          <w:sz w:val="28"/>
          <w:szCs w:val="28"/>
        </w:rPr>
        <w:t>图4：财政拨款收支出预决算对比情况</w:t>
      </w:r>
    </w:p>
    <w:p>
      <w:pPr>
        <w:adjustRightInd w:val="0"/>
        <w:snapToGrid w:val="0"/>
        <w:spacing w:after="0" w:line="580" w:lineRule="exact"/>
        <w:ind w:firstLineChars="150" w:firstLine="480"/>
        <w:rPr>
          <w:rFonts w:ascii="楷体_GB2312" w:eastAsia="楷体_GB2312" w:cs="DengXian-Bold"/>
          <w:b/>
          <w:bCs/>
          <w:sz w:val="32"/>
          <w:szCs w:val="32"/>
        </w:rPr>
      </w:pPr>
      <w:r>
        <w:rPr>
          <w:rFonts w:ascii="楷体_GB2312" w:eastAsia="楷体_GB2312" w:cs="DengXian-Bold" w:hint="eastAsia"/>
          <w:b/>
          <w:bCs/>
          <w:sz w:val="32"/>
          <w:szCs w:val="32"/>
        </w:rPr>
        <w:t>（三）财政拨款支出决算结构情况。</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2018 年度财政拨款支出433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元，按功能分类主要用于：文化体育与传媒支出433</w:t>
      </w:r>
      <w:r>
        <w:rPr>
          <w:rFonts w:ascii="宋体" w:eastAsia="宋体" w:cs="DengXian-Regular" w:hint="eastAsia"/>
          <w:sz w:val="32"/>
          <w:szCs w:val="32"/>
          <w:lang w:val="en-US" w:eastAsia="zh-CN"/>
        </w:rPr>
        <w:t>.</w:t>
      </w:r>
      <w:r>
        <w:rPr>
          <w:rFonts w:ascii="宋体" w:eastAsia="宋体" w:cs="DengXian-Regular" w:hint="eastAsia"/>
          <w:sz w:val="32"/>
          <w:szCs w:val="32"/>
        </w:rPr>
        <w:t>84</w:t>
      </w:r>
      <w:r>
        <w:rPr>
          <w:rFonts w:ascii="宋体" w:eastAsia="宋体" w:cs="DengXian-Regular" w:hint="eastAsia"/>
          <w:sz w:val="32"/>
          <w:szCs w:val="32"/>
          <w:lang w:eastAsia="zh-CN"/>
        </w:rPr>
        <w:t>万</w:t>
      </w:r>
      <w:r>
        <w:rPr>
          <w:rFonts w:ascii="宋体" w:eastAsia="宋体" w:cs="DengXian-Regular" w:hint="eastAsia"/>
          <w:sz w:val="32"/>
          <w:szCs w:val="32"/>
        </w:rPr>
        <w:t>元，占100%。</w:t>
      </w:r>
    </w:p>
    <w:p>
      <w:pPr>
        <w:adjustRightInd w:val="0"/>
        <w:snapToGrid w:val="0"/>
        <w:spacing w:after="0" w:line="580" w:lineRule="exact"/>
        <w:rPr>
          <w:rFonts w:ascii="楷体_GB2312" w:eastAsia="楷体_GB2312" w:cs="DengXian-Bold"/>
          <w:b/>
          <w:bCs/>
          <w:sz w:val="32"/>
          <w:szCs w:val="32"/>
        </w:rPr>
      </w:pPr>
    </w:p>
    <w:p>
      <w:pPr>
        <w:adjustRightInd w:val="0"/>
        <w:snapToGrid w:val="0"/>
        <w:spacing w:after="0" w:line="580" w:lineRule="exact"/>
        <w:rPr>
          <w:rFonts w:ascii="楷体_GB2312" w:eastAsia="楷体_GB2312" w:cs="DengXian-Bold"/>
          <w:b/>
          <w:bCs/>
          <w:sz w:val="32"/>
          <w:szCs w:val="32"/>
        </w:rPr>
      </w:pPr>
    </w:p>
    <w:p>
      <w:pPr>
        <w:adjustRightInd w:val="0"/>
        <w:snapToGrid w:val="0"/>
        <w:spacing w:after="0" w:line="4400" w:lineRule="exact"/>
        <w:jc w:val="left"/>
        <w:rPr>
          <w:rFonts w:ascii="楷体_GB2312" w:eastAsia="楷体_GB2312" w:cs="DengXian-Bold"/>
          <w:b/>
          <w:bCs/>
          <w:sz w:val="32"/>
          <w:szCs w:val="32"/>
        </w:rPr>
      </w:pPr>
      <w:r>
        <w:rPr>
          <w:rFonts w:ascii="楷体_GB2312" w:eastAsia="楷体_GB2312" w:cs="DengXian-Bold"/>
          <w:b/>
          <w:bCs/>
          <w:sz w:val="32"/>
          <w:szCs w:val="32"/>
        </w:rPr>
        <w:drawing>
          <wp:inline distT="0" distB="0" distL="0" distR="0">
            <wp:extent cx="4361179" cy="2343785"/>
            <wp:effectExtent l="0" t="0" r="0" b="0"/>
            <wp:docPr id="135" name="图表 3"/>
            <wp:cNvGraphicFramePr>
              <a:graphicFrameLocks noChangeAspect="0"/>
            </wp:cNvGraphicFramePr>
            <a:graphic>
              <a:graphicData uri="http://schemas.openxmlformats.org/drawingml/2006/chart">
                <c:chart xmlns:c="http://schemas.openxmlformats.org/drawingml/2006/chart" r:id="rId10"/>
              </a:graphicData>
            </a:graphic>
          </wp:inline>
        </w:drawing>
      </w:r>
    </w:p>
    <w:p>
      <w:pPr>
        <w:adjustRightInd w:val="0"/>
        <w:snapToGrid w:val="0"/>
        <w:spacing w:line="560" w:lineRule="exact"/>
        <w:jc w:val="center"/>
        <w:rPr>
          <w:rFonts w:ascii="仿宋_GB2312" w:eastAsia="仿宋_GB2312" w:cs="DengXian-Regular"/>
          <w:sz w:val="28"/>
          <w:szCs w:val="28"/>
        </w:rPr>
      </w:pPr>
      <w:r>
        <w:rPr>
          <w:rFonts w:ascii="仿宋_GB2312" w:eastAsia="仿宋_GB2312" w:cs="DengXian-Regular" w:hint="eastAsia"/>
          <w:sz w:val="28"/>
          <w:szCs w:val="28"/>
        </w:rPr>
        <w:t>图1：财政拨款支出决算结构（按功能分类）</w:t>
      </w:r>
    </w:p>
    <w:p>
      <w:pPr>
        <w:adjustRightInd w:val="0"/>
        <w:snapToGrid w:val="0"/>
        <w:spacing w:after="0" w:line="580" w:lineRule="exact"/>
        <w:ind w:leftChars="200" w:left="420"/>
        <w:rPr>
          <w:rFonts w:ascii="楷体_GB2312" w:eastAsia="楷体_GB2312" w:cs="DengXian-Bold"/>
          <w:b/>
          <w:bCs/>
          <w:sz w:val="32"/>
          <w:szCs w:val="32"/>
        </w:rPr>
      </w:pPr>
      <w:r>
        <w:rPr>
          <w:sz w:val="44"/>
        </w:rPr>
        <mc:AlternateContent>
          <mc:Choice Requires="wps">
            <w:drawing>
              <wp:anchor distT="0" distB="0" distL="91438" distR="91438" simplePos="0" relativeHeight="107" behindDoc="0" locked="1" layoutInCell="1" hidden="0" allowOverlap="1">
                <wp:simplePos x="0" y="0"/>
                <wp:positionH relativeFrom="page">
                  <wp:posOffset>-6985</wp:posOffset>
                </wp:positionH>
                <wp:positionV relativeFrom="page">
                  <wp:posOffset>372109</wp:posOffset>
                </wp:positionV>
                <wp:extent cx="3833495" cy="559435"/>
                <wp:effectExtent l="0" t="0" r="0" b="0"/>
                <wp:wrapNone/>
                <wp:docPr id="136" name="组合"/>
                <wp:cNvGraphicFramePr>
                  <a:graphicFrameLocks noChangeAspect="0"/>
                </wp:cNvGraphicFramePr>
                <a:graphic>
                  <a:graphicData uri="http://schemas.microsoft.com/office/word/2010/wordprocessingGroup">
                    <wpg:wgp>
                      <wpg:cNvPr id="137" name="组合 137"/>
                      <wpg:cNvGrpSpPr/>
                      <wpg:grpSpPr>
                        <a:xfrm rot="0">
                          <a:off x="0" y="0"/>
                          <a:ext cx="3833495" cy="559435"/>
                          <a:chOff x="0" y="0"/>
                          <a:chExt cx="3833495" cy="559435"/>
                        </a:xfrm>
                        <a:prstGeom prst="rect"/>
                        <a:solidFill>
                          <a:srgbClr val="FFFFFF"/>
                        </a:solidFill>
                        <a:ln w="9525" cmpd="sng" cap="flat">
                          <a:solidFill>
                            <a:srgbClr val="000000"/>
                          </a:solidFill>
                          <a:prstDash val="solid"/>
                          <a:miter/>
                        </a:ln>
                      </wpg:grpSpPr>
                      <wps:wsp>
                        <wps:cNvPr id="138" name="_s142 138"/>
                        <wps:cNvSpPr/>
                        <wps:spPr>
                          <a:xfrm rot="0">
                            <a:off x="0" y="0"/>
                            <a:ext cx="3833495" cy="469162"/>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39" name="_s143 139"/>
                        <wps:cNvSpPr/>
                        <wps:spPr>
                          <a:xfrm rot="0">
                            <a:off x="11430" y="110615"/>
                            <a:ext cx="3733800" cy="448819"/>
                          </a:xfrm>
                          <a:prstGeom prst="rect"/>
                          <a:solidFill>
                            <a:srgbClr val="AD002D"/>
                          </a:solidFill>
                          <a:ln w="25400" cmpd="sng" cap="flat">
                            <a:solidFill>
                              <a:srgbClr val="AF7621"/>
                            </a:solidFill>
                            <a:prstDash val="solid"/>
                            <a:miter/>
                          </a:ln>
                        </wps:spPr>
                        <wps:txbx id="140">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2018年度部门决算☞部门决算情况说明</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41" o:spid="_x0000_s141" coordorigin="-11,585" coordsize="6037,881" style="position:absolute;margin-left:-0.5500038pt;margin-top:29.299942pt;width:301.85pt;height:44.050026pt;z-index:107;mso-position-horizontal:absolute;mso-position-horizontal-relative:page;mso-position-vertical:absolute;mso-position-vertical-relative:page;mso-wrap-distance-left:7.19989pt;mso-wrap-distance-right:7.19989pt;">
                <v:rect type="#_x0000_t1" id="_s142" o:spid="_x0000_s142" style="position:absolute;left:-11;top:585;width:6037;height:738;" fillcolor="#D8D8D8" stroked="f">
                  <v:stroke color="#000000"/>
                </v:rect>
                <v:rect type="#_x0000_t1" id="_s143" o:spid="_x0000_s143" style="position:absolute;left:6;top:760;width:5880;height:706;mso-wrap-style:square;" fillcolor="#AD002D" stroked="t" strokeweight="2.0pt">
                  <v:textbox id="876"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2018年度部门决算☞部门决算情况说明</w:t>
                        </w:r>
                      </w:p>
                      <w:p>
                        <w:pPr>
                          <w:jc w:val="center"/>
                        </w:pPr>
                      </w:p>
                    </w:txbxContent>
                  </v:textbox>
                  <v:stroke color="#AF7621"/>
                </v:rect>
                <w10:anchorLock/>
              </v:group>
            </w:pict>
          </mc:Fallback>
        </mc:AlternateContent>
      </w:r>
      <w:r>
        <w:rPr>
          <w:rFonts w:ascii="楷体_GB2312" w:eastAsia="楷体_GB2312" w:cs="DengXian-Bold" w:hint="eastAsia"/>
          <w:b/>
          <w:bCs/>
          <w:sz w:val="32"/>
          <w:szCs w:val="32"/>
        </w:rPr>
        <w:t>（四）一般公共预算基本支出决算情况说明</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2018 年度财政拨款基本支出381</w:t>
      </w:r>
      <w:r>
        <w:rPr>
          <w:rFonts w:ascii="宋体" w:eastAsia="宋体" w:cs="DengXian-Regular" w:hint="eastAsia"/>
          <w:sz w:val="32"/>
          <w:szCs w:val="32"/>
          <w:lang w:val="en-US" w:eastAsia="zh-CN"/>
        </w:rPr>
        <w:t>.80万</w:t>
      </w:r>
      <w:r>
        <w:rPr>
          <w:rFonts w:ascii="宋体" w:eastAsia="宋体" w:cs="DengXian-Regular" w:hint="eastAsia"/>
          <w:sz w:val="32"/>
          <w:szCs w:val="32"/>
        </w:rPr>
        <w:t>元，其中：人员经费345</w:t>
      </w:r>
      <w:r>
        <w:rPr>
          <w:rFonts w:ascii="宋体" w:eastAsia="宋体" w:cs="DengXian-Regular" w:hint="eastAsia"/>
          <w:sz w:val="32"/>
          <w:szCs w:val="32"/>
          <w:lang w:val="en-US" w:eastAsia="zh-CN"/>
        </w:rPr>
        <w:t>.</w:t>
      </w:r>
      <w:r>
        <w:rPr>
          <w:rFonts w:ascii="宋体" w:eastAsia="宋体" w:cs="DengXian-Regular" w:hint="eastAsia"/>
          <w:sz w:val="32"/>
          <w:szCs w:val="32"/>
        </w:rPr>
        <w:t>8</w:t>
      </w:r>
      <w:r>
        <w:rPr>
          <w:rFonts w:ascii="宋体" w:eastAsia="宋体" w:cs="DengXian-Regular" w:hint="eastAsia"/>
          <w:sz w:val="32"/>
          <w:szCs w:val="32"/>
          <w:lang w:val="en-US" w:eastAsia="zh-CN"/>
        </w:rPr>
        <w:t>3万</w:t>
      </w:r>
      <w:r>
        <w:rPr>
          <w:rFonts w:ascii="宋体" w:eastAsia="宋体" w:cs="DengXian-Regular" w:hint="eastAsia"/>
          <w:sz w:val="32"/>
          <w:szCs w:val="32"/>
        </w:rPr>
        <w:t>元，主要包括基本工资、津贴补贴、奖金、绩效工资、机关事业单位基本养老保险缴费、职业年金缴费、职工基本医疗保险缴费、公务员医疗补助缴费、住房公积金、其他社会保障缴费、退休费、生活补助、奖励金；公用经费35</w:t>
      </w:r>
      <w:r>
        <w:rPr>
          <w:rFonts w:ascii="宋体" w:eastAsia="宋体" w:cs="DengXian-Regular" w:hint="eastAsia"/>
          <w:sz w:val="32"/>
          <w:szCs w:val="32"/>
          <w:lang w:val="en-US" w:eastAsia="zh-CN"/>
        </w:rPr>
        <w:t>.</w:t>
      </w:r>
      <w:r>
        <w:rPr>
          <w:rFonts w:ascii="宋体" w:eastAsia="宋体" w:cs="DengXian-Regular" w:hint="eastAsia"/>
          <w:sz w:val="32"/>
          <w:szCs w:val="32"/>
        </w:rPr>
        <w:t>9</w:t>
      </w:r>
      <w:r>
        <w:rPr>
          <w:rFonts w:ascii="宋体" w:eastAsia="宋体" w:cs="DengXian-Regular" w:hint="eastAsia"/>
          <w:sz w:val="32"/>
          <w:szCs w:val="32"/>
          <w:lang w:val="en-US" w:eastAsia="zh-CN"/>
        </w:rPr>
        <w:t>7万</w:t>
      </w:r>
      <w:r>
        <w:rPr>
          <w:rFonts w:ascii="宋体" w:eastAsia="宋体" w:cs="DengXian-Regular" w:hint="eastAsia"/>
          <w:sz w:val="32"/>
          <w:szCs w:val="32"/>
        </w:rPr>
        <w:t>元，主要包括办公费、邮电费、取暖费、差旅费、劳务费、工会经费、福利费、其他商品和服务支出、办公设备购置。</w:t>
      </w:r>
    </w:p>
    <w:p>
      <w:pPr>
        <w:pStyle w:val="2"/>
        <w:spacing w:before="0" w:after="0" w:line="580" w:lineRule="exact"/>
        <w:ind w:firstLineChars="200" w:firstLine="640"/>
        <w:rPr>
          <w:rFonts w:ascii="黑体" w:eastAsia="黑体"/>
          <w:b w:val="0"/>
          <w:bCs w:val="0"/>
        </w:rPr>
      </w:pPr>
      <w:r>
        <w:rPr>
          <w:rFonts w:ascii="黑体" w:eastAsia="黑体" w:hint="eastAsia"/>
          <w:b w:val="0"/>
          <w:bCs w:val="0"/>
        </w:rPr>
        <w:t>五、一般公共预算“三公” 经费支出决算情况说明</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仿宋_GB2312" w:eastAsia="仿宋_GB2312" w:cs="DengXian-Regular" w:hint="eastAsia"/>
          <w:sz w:val="32"/>
          <w:szCs w:val="32"/>
          <w:lang w:bidi="ar-SA"/>
        </w:rPr>
        <w:t>本部门2018年度“三公”经费支出共计</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万元，较年初预算无变化；较2017年度无变化。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楷体_GB2312" w:eastAsia="楷体_GB2312" w:cs="DengXian-Bold" w:hint="eastAsia"/>
          <w:b/>
          <w:bCs/>
          <w:sz w:val="32"/>
          <w:szCs w:val="32"/>
          <w:lang w:bidi="ar-SA"/>
        </w:rPr>
        <w:t>（</w:t>
      </w:r>
      <w:r>
        <w:rPr>
          <w:sz w:val="44"/>
        </w:rPr>
        <mc:AlternateContent>
          <mc:Choice Requires="wps">
            <w:drawing>
              <wp:anchor distT="0" distB="0" distL="0" distR="0" simplePos="0" relativeHeight="109" behindDoc="0" locked="1" layoutInCell="1" hidden="0" allowOverlap="1">
                <wp:simplePos x="0" y="0"/>
                <wp:positionH relativeFrom="page">
                  <wp:posOffset>-6350</wp:posOffset>
                </wp:positionH>
                <wp:positionV relativeFrom="page">
                  <wp:posOffset>372110</wp:posOffset>
                </wp:positionV>
                <wp:extent cx="3832860" cy="558165"/>
                <wp:effectExtent l="0" t="0" r="0" b="0"/>
                <wp:wrapNone/>
                <wp:docPr id="144" name="组合"/>
                <wp:cNvGraphicFramePr>
                  <a:graphicFrameLocks noChangeAspect="0"/>
                </wp:cNvGraphicFramePr>
                <a:graphic>
                  <a:graphicData uri="http://schemas.microsoft.com/office/word/2010/wordprocessingGroup">
                    <wpg:wgp>
                      <wpg:cNvPr id="145" name="组合 145"/>
                      <wpg:cNvGrpSpPr/>
                      <wpg:grpSpPr>
                        <a:xfrm rot="0">
                          <a:off x="0" y="0"/>
                          <a:ext cx="3832860" cy="558165"/>
                          <a:chOff x="0" y="0"/>
                          <a:chExt cx="3832860" cy="558165"/>
                        </a:xfrm>
                        <a:prstGeom prst="rect"/>
                        <a:solidFill>
                          <a:srgbClr val="FFFFFF"/>
                        </a:solidFill>
                        <a:ln w="9525" cmpd="sng" cap="flat">
                          <a:solidFill>
                            <a:srgbClr val="000000"/>
                          </a:solidFill>
                          <a:prstDash val="solid"/>
                          <a:miter/>
                        </a:ln>
                      </wpg:grpSpPr>
                      <wps:wsp>
                        <wps:cNvPr id="146" name="1104 146"/>
                        <wps:cNvSpPr/>
                        <wps:spPr>
                          <a:xfrm rot="0">
                            <a:off x="0" y="0"/>
                            <a:ext cx="3832860" cy="468630"/>
                          </a:xfrm>
                          <a:prstGeom prst="rect"/>
                          <a:solidFill>
                            <a:srgbClr val="D8D8D8"/>
                          </a:solidFill>
                          <a:ln w="25400" cmpd="sng" cap="flat">
                            <a:noFill/>
                            <a:prstDash val="solid"/>
                            <a:miter/>
                          </a:ln>
                        </wps:spPr>
                        <wps:bodyPr vert="horz" wrap="square" lIns="91440" tIns="45720" rIns="91440" bIns="45720" anchor="t" anchorCtr="0" upright="1">
                          <a:noAutofit/>
                        </wps:bodyPr>
                      </wps:wsp>
                      <wps:wsp>
                        <wps:cNvPr id="147" name="1105 147"/>
                        <wps:cNvSpPr/>
                        <wps:spPr>
                          <a:xfrm rot="0">
                            <a:off x="10795" y="109220"/>
                            <a:ext cx="3733800" cy="448945"/>
                          </a:xfrm>
                          <a:prstGeom prst="rect"/>
                          <a:solidFill>
                            <a:srgbClr val="AD002D"/>
                          </a:solidFill>
                          <a:ln w="25400" cmpd="sng" cap="flat">
                            <a:solidFill>
                              <a:srgbClr val="AF7621"/>
                            </a:solidFill>
                            <a:prstDash val="solid"/>
                            <a:miter/>
                          </a:ln>
                        </wps:spPr>
                        <wps:txbx id="148">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wps:txbx>
                        <wps:bodyPr vert="horz" wrap="square" lIns="91440" tIns="45720" rIns="91440" bIns="45720" anchor="t" anchorCtr="0" upright="1">
                          <a:noAutofit/>
                        </wps:bodyPr>
                      </wps:wsp>
                      <wps:bodyPr vert="horz" wrap="square" lIns="91440" tIns="45720" rIns="91440" bIns="45720" anchor="t" anchorCtr="0" upright="1">
                        <a:noAutofit/>
                      </wps:bodyPr>
                    </wpg:wgp>
                  </a:graphicData>
                </a:graphic>
              </wp:anchor>
            </w:drawing>
          </mc:Choice>
          <mc:Fallback>
            <w:pict>
              <v:group type="#_x0000_t1" id="组合 149" o:spid="_x0000_s149" coordorigin="-10,585" coordsize="6036,879" style="position:absolute;margin-left:-0.5pt;margin-top:29.3pt;width:301.80002pt;height:43.95pt;z-index:109;mso-position-horizontal:absolute;mso-position-horizontal-relative:page;mso-position-vertical:absolute;mso-position-vertical-relative:page;mso-wrap-distance-left:0.0pt;mso-wrap-distance-right:0.0pt;">
                <v:rect type="#_x0000_t1" id="_s150" o:spid="_x0000_s150" style="position:absolute;left:-10;top:585;width:6036;height:738;" fillcolor="#D8D8D8" stroked="f" strokeweight="2.0pt">
                  <v:stroke color="#000000"/>
                </v:rect>
                <v:rect type="#_x0000_t1" id="_s151" o:spid="_x0000_s151" style="position:absolute;left:7;top:758;width:5880;height:706;mso-wrap-style:square;" fillcolor="#AD002D" stroked="t" strokeweight="2.0pt">
                  <v:textbox id="882" inset="2.54mm,1.27mm,2.54mm,1.27mm" o:insetmode="custom" style="layout-flow:horizontal;v-text-anchor:top;">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v:textbox>
                  <v:stroke color="#AF7621"/>
                </v:rect>
                <w10:anchorLock/>
              </v:group>
            </w:pict>
          </mc:Fallback>
        </mc:AlternateContent>
      </w:r>
      <w:r>
        <w:rPr>
          <w:rFonts w:ascii="楷体_GB2312" w:eastAsia="楷体_GB2312" w:cs="DengXian-Bold" w:hint="eastAsia"/>
          <w:b/>
          <w:bCs/>
          <w:sz w:val="32"/>
          <w:szCs w:val="32"/>
          <w:lang w:bidi="ar-SA"/>
        </w:rPr>
        <w:t>一）因公出国（境）费支出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rFonts w:ascii="仿宋_GB2312" w:eastAsia="仿宋_GB2312" w:cs="DengXian-Regular" w:hint="eastAsia"/>
          <w:sz w:val="32"/>
          <w:szCs w:val="32"/>
          <w:lang w:bidi="ar-SA"/>
        </w:rPr>
        <w:t>本部门2018年度无本单位组织的出国（境）团组</w:t>
      </w:r>
      <w:r>
        <w:rPr>
          <w:rFonts w:ascii="仿宋_GB2312" w:eastAsia="仿宋_GB2312" w:cs="DengXian-Regular" w:hint="eastAsia"/>
          <w:sz w:val="32"/>
          <w:szCs w:val="32"/>
          <w:lang w:bidi="ar-SA"/>
        </w:rPr>
        <w:t>,较年初预算无变化，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adjustRightInd w:val="0"/>
        <w:snapToGrid w:val="0"/>
        <w:spacing w:after="0" w:line="580" w:lineRule="exact"/>
        <w:ind w:firstLineChars="200" w:firstLine="640"/>
        <w:rPr>
          <w:rFonts w:ascii="仿宋_GB2312" w:eastAsia="仿宋_GB2312" w:cs="DengXian-Bold" w:hint="eastAsia"/>
          <w:b/>
          <w:bCs/>
          <w:sz w:val="32"/>
          <w:szCs w:val="32"/>
          <w:lang w:bidi="ar-SA"/>
        </w:rPr>
      </w:pPr>
      <w:r>
        <w:rPr>
          <w:rFonts w:ascii="楷体_GB2312" w:eastAsia="楷体_GB2312" w:cs="DengXian-Bold" w:hint="eastAsia"/>
          <w:b/>
          <w:bCs/>
          <w:sz w:val="32"/>
          <w:szCs w:val="32"/>
          <w:lang w:bidi="ar-SA"/>
        </w:rPr>
        <w:t>（二）公务用车购置及运行维护费支出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rFonts w:ascii="仿宋_GB2312" w:eastAsia="仿宋_GB2312" w:cs="DengXian-Regular" w:hint="eastAsia"/>
          <w:sz w:val="32"/>
          <w:szCs w:val="32"/>
          <w:lang w:bidi="ar-SA"/>
        </w:rPr>
        <w:t>本部门2018年度公务用车购置及运行维护费较年初预算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bookmarkStart w:id="0" w:name="_GoBack"/>
      <w:bookmarkEnd w:id="0"/>
      <w:r>
        <w:rPr>
          <w:rFonts w:ascii="仿宋_GB2312" w:eastAsia="仿宋_GB2312" w:cs="DengXian-Regular" w:hint="eastAsia"/>
          <w:b/>
          <w:sz w:val="32"/>
          <w:szCs w:val="32"/>
          <w:lang w:bidi="ar-SA"/>
        </w:rPr>
        <w:t>公务用车购置费：</w:t>
      </w:r>
      <w:r>
        <w:rPr>
          <w:rFonts w:ascii="仿宋_GB2312" w:eastAsia="仿宋_GB2312" w:cs="DengXian-Regular" w:hint="eastAsia"/>
          <w:sz w:val="32"/>
          <w:szCs w:val="32"/>
          <w:lang w:bidi="ar-SA"/>
        </w:rPr>
        <w:t>本部门2018年度公务用车购置量</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辆，发生“公务用车购置”经费支出</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万元。公务用车购置费支出较年初预算</w:t>
      </w:r>
      <w:r>
        <w:rPr>
          <w:rFonts w:ascii="仿宋_GB2312" w:eastAsia="仿宋_GB2312" w:cs="DengXian-Regular" w:hint="eastAsia"/>
          <w:sz w:val="32"/>
          <w:szCs w:val="32"/>
          <w:lang w:bidi="ar-SA"/>
        </w:rPr>
        <w:t>无变化</w:t>
      </w:r>
    </w:p>
    <w:p>
      <w:pPr>
        <w:adjustRightInd w:val="0"/>
        <w:snapToGrid w:val="0"/>
        <w:spacing w:after="0" w:line="580" w:lineRule="exact"/>
        <w:ind w:firstLineChars="200" w:firstLine="640"/>
        <w:rPr>
          <w:rFonts w:ascii="仿宋_GB2312" w:eastAsia="仿宋_GB2312" w:cs="DengXian-Regular" w:hint="eastAsia"/>
          <w:sz w:val="32"/>
          <w:szCs w:val="32"/>
          <w:lang w:bidi="ar-SA"/>
        </w:rPr>
      </w:pPr>
      <w:r>
        <w:rPr>
          <w:rFonts w:ascii="仿宋_GB2312" w:eastAsia="仿宋_GB2312" w:cs="DengXian-Regular" w:hint="eastAsia"/>
          <w:b/>
          <w:sz w:val="32"/>
          <w:szCs w:val="32"/>
          <w:lang w:bidi="ar-SA"/>
        </w:rPr>
        <w:t>公务用车运行维护费：</w:t>
      </w:r>
      <w:r>
        <w:rPr>
          <w:rFonts w:ascii="仿宋_GB2312" w:eastAsia="仿宋_GB2312" w:cs="DengXian-Regular" w:hint="eastAsia"/>
          <w:sz w:val="32"/>
          <w:szCs w:val="32"/>
          <w:lang w:bidi="ar-SA"/>
        </w:rPr>
        <w:t>本部门2018年度单位公务用车保有量</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辆。公车运行维护费支出较年初预算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adjustRightInd w:val="0"/>
        <w:snapToGrid w:val="0"/>
        <w:spacing w:after="0" w:line="580" w:lineRule="exact"/>
        <w:ind w:firstLineChars="200" w:firstLine="640"/>
        <w:rPr>
          <w:rFonts w:ascii="黑体" w:eastAsia="黑体" w:hint="eastAsia"/>
          <w:sz w:val="32"/>
          <w:szCs w:val="40"/>
        </w:rPr>
      </w:pPr>
      <w:r>
        <w:rPr>
          <w:rFonts w:ascii="楷体_GB2312" w:eastAsia="楷体_GB2312" w:cs="DengXian-Bold" w:hint="eastAsia"/>
          <w:b/>
          <w:bCs/>
          <w:sz w:val="32"/>
          <w:szCs w:val="32"/>
          <w:lang w:bidi="ar-SA"/>
        </w:rPr>
        <w:t>（三）公务接待费支出</w:t>
      </w:r>
      <w:r>
        <w:rPr>
          <w:rFonts w:ascii="楷体_GB2312" w:eastAsia="楷体_GB2312" w:cs="DengXian-Bold" w:hint="eastAsia"/>
          <w:b/>
          <w:bCs/>
          <w:sz w:val="32"/>
          <w:szCs w:val="32"/>
          <w:lang w:bidi="ar-SA"/>
        </w:rPr>
        <w:t>0</w:t>
      </w:r>
      <w:r>
        <w:rPr>
          <w:rFonts w:ascii="楷体_GB2312" w:eastAsia="楷体_GB2312" w:cs="DengXian-Bold" w:hint="eastAsia"/>
          <w:b/>
          <w:bCs/>
          <w:sz w:val="32"/>
          <w:szCs w:val="32"/>
          <w:lang w:bidi="ar-SA"/>
        </w:rPr>
        <w:t>万元。</w:t>
      </w:r>
      <w:r>
        <w:rPr>
          <w:sz w:val="44"/>
        </w:rPr>
        <mc:AlternateContent>
          <mc:Choice Requires="wps">
            <w:drawing>
              <wp:anchor distT="0" distB="0" distL="0" distR="0" simplePos="0" relativeHeight="111" behindDoc="0" locked="1" layoutInCell="1" hidden="0" allowOverlap="1">
                <wp:simplePos x="0" y="0"/>
                <wp:positionH relativeFrom="page">
                  <wp:posOffset>-6350</wp:posOffset>
                </wp:positionH>
                <wp:positionV relativeFrom="page">
                  <wp:posOffset>372110</wp:posOffset>
                </wp:positionV>
                <wp:extent cx="3832860" cy="558165"/>
                <wp:effectExtent l="0" t="0" r="0" b="0"/>
                <wp:wrapNone/>
                <wp:docPr id="152" name="组合"/>
                <wp:cNvGraphicFramePr>
                  <a:graphicFrameLocks noChangeAspect="0"/>
                </wp:cNvGraphicFramePr>
                <a:graphic>
                  <a:graphicData uri="http://schemas.microsoft.com/office/word/2010/wordprocessingGroup">
                    <wpg:wgp>
                      <wpg:cNvPr id="153" name="组合 153"/>
                      <wpg:cNvGrpSpPr/>
                      <wpg:grpSpPr>
                        <a:xfrm rot="0">
                          <a:off x="0" y="0"/>
                          <a:ext cx="3832860" cy="558165"/>
                          <a:chOff x="0" y="0"/>
                          <a:chExt cx="3832860" cy="558165"/>
                        </a:xfrm>
                        <a:prstGeom prst="rect"/>
                        <a:solidFill>
                          <a:srgbClr val="FFFFFF"/>
                        </a:solidFill>
                        <a:ln w="9525" cmpd="sng" cap="flat">
                          <a:solidFill>
                            <a:srgbClr val="000000"/>
                          </a:solidFill>
                          <a:prstDash val="solid"/>
                          <a:miter/>
                        </a:ln>
                      </wpg:grpSpPr>
                      <wps:wsp>
                        <wps:cNvPr id="154" name="1107 154"/>
                        <wps:cNvSpPr/>
                        <wps:spPr>
                          <a:xfrm rot="0">
                            <a:off x="0" y="0"/>
                            <a:ext cx="3832860" cy="468630"/>
                          </a:xfrm>
                          <a:prstGeom prst="rect"/>
                          <a:solidFill>
                            <a:srgbClr val="D8D8D8"/>
                          </a:solidFill>
                          <a:ln w="25400" cmpd="sng" cap="flat">
                            <a:noFill/>
                            <a:prstDash val="solid"/>
                            <a:miter/>
                          </a:ln>
                        </wps:spPr>
                        <wps:bodyPr vert="horz" wrap="square" lIns="91440" tIns="45720" rIns="91440" bIns="45720" anchor="t" anchorCtr="0" upright="1">
                          <a:noAutofit/>
                        </wps:bodyPr>
                      </wps:wsp>
                      <wps:wsp>
                        <wps:cNvPr id="155" name="1108 155"/>
                        <wps:cNvSpPr/>
                        <wps:spPr>
                          <a:xfrm rot="0">
                            <a:off x="10795" y="109220"/>
                            <a:ext cx="3733800" cy="448945"/>
                          </a:xfrm>
                          <a:prstGeom prst="rect"/>
                          <a:solidFill>
                            <a:srgbClr val="AD002D"/>
                          </a:solidFill>
                          <a:ln w="25400" cmpd="sng" cap="flat">
                            <a:solidFill>
                              <a:srgbClr val="AF7621"/>
                            </a:solidFill>
                            <a:prstDash val="solid"/>
                            <a:miter/>
                          </a:ln>
                        </wps:spPr>
                        <wps:txbx id="156">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wps:txbx>
                        <wps:bodyPr vert="horz" wrap="square" lIns="91440" tIns="45720" rIns="91440" bIns="45720" anchor="t" anchorCtr="0" upright="1">
                          <a:noAutofit/>
                        </wps:bodyPr>
                      </wps:wsp>
                      <wps:bodyPr vert="horz" wrap="square" lIns="91440" tIns="45720" rIns="91440" bIns="45720" anchor="t" anchorCtr="0" upright="1">
                        <a:noAutofit/>
                      </wps:bodyPr>
                    </wpg:wgp>
                  </a:graphicData>
                </a:graphic>
              </wp:anchor>
            </w:drawing>
          </mc:Choice>
          <mc:Fallback>
            <w:pict>
              <v:group type="#_x0000_t1" id="组合 157" o:spid="_x0000_s157" coordorigin="-10,585" coordsize="6036,879" style="position:absolute;margin-left:-0.5pt;margin-top:29.3pt;width:301.80002pt;height:43.95pt;z-index:111;mso-position-horizontal:absolute;mso-position-horizontal-relative:page;mso-position-vertical:absolute;mso-position-vertical-relative:page;mso-wrap-distance-left:0.0pt;mso-wrap-distance-right:0.0pt;">
                <v:rect type="#_x0000_t1" id="_s158" o:spid="_x0000_s158" style="position:absolute;left:-10;top:585;width:6036;height:738;" fillcolor="#D8D8D8" stroked="f" strokeweight="2.0pt">
                  <v:stroke color="#000000"/>
                </v:rect>
                <v:rect type="#_x0000_t1" id="_s159" o:spid="_x0000_s159" style="position:absolute;left:7;top:758;width:5880;height:706;mso-wrap-style:square;" fillcolor="#AD002D" stroked="t" strokeweight="2.0pt">
                  <v:textbox id="883" inset="2.54mm,1.27mm,2.54mm,1.27mm" o:insetmode="custom" style="layout-flow:horizontal;v-text-anchor:top;">
                    <w:txbxContent>
                      <w:p>
                        <w:pPr>
                          <w:widowControl/>
                          <w:jc w:val="left"/>
                          <w:rPr>
                            <w:rFonts w:ascii="楷体" w:eastAsia="楷体" w:cs="楷体" w:hint="eastAsia"/>
                            <w:b/>
                            <w:bCs/>
                            <w:color w:val="FDEFBE"/>
                            <w:sz w:val="32"/>
                            <w:szCs w:val="32"/>
                            <w:lang w:bidi="ar-SA"/>
                          </w:rPr>
                        </w:pPr>
                        <w:r>
                          <w:rPr>
                            <w:rFonts w:ascii="楷体" w:eastAsia="楷体" w:cs="楷体" w:hint="eastAsia"/>
                            <w:b/>
                            <w:bCs/>
                            <w:color w:val="FDEFBE"/>
                            <w:kern w:val="0"/>
                            <w:sz w:val="32"/>
                            <w:szCs w:val="32"/>
                            <w:lang w:bidi="ar-SA"/>
                          </w:rPr>
                          <w:t>2018年度部门决算☞部门决算情况说明</w:t>
                        </w:r>
                      </w:p>
                      <w:p>
                        <w:pPr>
                          <w:jc w:val="center"/>
                        </w:pPr>
                      </w:p>
                    </w:txbxContent>
                  </v:textbox>
                  <v:stroke color="#AF7621"/>
                </v:rect>
                <w10:anchorLock/>
              </v:group>
            </w:pict>
          </mc:Fallback>
        </mc:AlternateContent>
      </w:r>
      <w:r>
        <w:rPr>
          <w:rFonts w:ascii="仿宋_GB2312" w:eastAsia="仿宋_GB2312" w:cs="DengXian-Regular" w:hint="eastAsia"/>
          <w:sz w:val="32"/>
          <w:szCs w:val="32"/>
          <w:lang w:bidi="ar-SA"/>
        </w:rPr>
        <w:t>本部门2018年度公务接待共</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批次、</w:t>
      </w:r>
      <w:r>
        <w:rPr>
          <w:rFonts w:ascii="仿宋_GB2312" w:eastAsia="仿宋_GB2312" w:cs="DengXian-Regular" w:hint="eastAsia"/>
          <w:sz w:val="32"/>
          <w:szCs w:val="32"/>
          <w:lang w:bidi="ar-SA"/>
        </w:rPr>
        <w:t>0</w:t>
      </w:r>
      <w:r>
        <w:rPr>
          <w:rFonts w:ascii="仿宋_GB2312" w:eastAsia="仿宋_GB2312" w:cs="DengXian-Regular" w:hint="eastAsia"/>
          <w:sz w:val="32"/>
          <w:szCs w:val="32"/>
          <w:lang w:bidi="ar-SA"/>
        </w:rPr>
        <w:t>人次。公务接待费支出较年初预算</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；较上年度</w:t>
      </w:r>
      <w:r>
        <w:rPr>
          <w:rFonts w:ascii="仿宋_GB2312" w:eastAsia="仿宋_GB2312" w:cs="DengXian-Regular" w:hint="eastAsia"/>
          <w:sz w:val="32"/>
          <w:szCs w:val="32"/>
          <w:lang w:bidi="ar-SA"/>
        </w:rPr>
        <w:t>无变化</w:t>
      </w:r>
      <w:r>
        <w:rPr>
          <w:rFonts w:ascii="仿宋_GB2312" w:eastAsia="仿宋_GB2312" w:cs="DengXian-Regular" w:hint="eastAsia"/>
          <w:sz w:val="32"/>
          <w:szCs w:val="32"/>
          <w:lang w:bidi="ar-SA"/>
        </w:rPr>
        <w:t>。</w:t>
      </w:r>
    </w:p>
    <w:p>
      <w:pPr>
        <w:adjustRightInd w:val="0"/>
        <w:snapToGrid w:val="0"/>
        <w:spacing w:after="0" w:line="580" w:lineRule="exact"/>
        <w:ind w:firstLineChars="200" w:firstLine="640"/>
        <w:rPr>
          <w:rFonts w:ascii="黑体" w:eastAsia="黑体"/>
          <w:sz w:val="32"/>
          <w:szCs w:val="40"/>
        </w:rPr>
      </w:pPr>
      <w:r>
        <w:rPr>
          <w:rFonts w:ascii="黑体" w:eastAsia="黑体" w:hint="eastAsia"/>
          <w:sz w:val="32"/>
          <w:szCs w:val="40"/>
        </w:rPr>
        <w:t>六、预算绩效情况说明</w:t>
      </w:r>
    </w:p>
    <w:p>
      <w:pPr>
        <w:adjustRightInd w:val="0"/>
        <w:snapToGrid w:val="0"/>
        <w:spacing w:after="0" w:line="580" w:lineRule="exact"/>
        <w:ind w:firstLineChars="200" w:firstLine="640"/>
        <w:rPr>
          <w:rFonts w:ascii="仿宋_GB2312" w:eastAsia="仿宋_GB2312" w:cs="DengXian-Regular"/>
          <w:sz w:val="32"/>
          <w:szCs w:val="32"/>
        </w:rPr>
      </w:pPr>
      <w:r>
        <w:rPr>
          <w:rFonts w:ascii="仿宋_GB2312" w:eastAsia="仿宋_GB2312" w:cs="DengXian-Regular" w:hint="eastAsia"/>
          <w:sz w:val="32"/>
          <w:szCs w:val="32"/>
        </w:rPr>
        <w:t>（一）绩效管理工作开展情况</w:t>
      </w:r>
    </w:p>
    <w:p>
      <w:pPr>
        <w:adjustRightInd w:val="0"/>
        <w:snapToGrid w:val="0"/>
        <w:spacing w:after="0" w:line="580" w:lineRule="exact"/>
        <w:ind w:firstLineChars="200" w:firstLine="640"/>
        <w:rPr>
          <w:rFonts w:ascii="宋体" w:eastAsia="宋体" w:cs="DengXian-Regular"/>
          <w:sz w:val="32"/>
          <w:szCs w:val="32"/>
        </w:rPr>
      </w:pPr>
      <w:r>
        <w:rPr>
          <w:rFonts w:ascii="宋体" w:cs="DengXian-Regular" w:hint="eastAsia"/>
          <w:sz w:val="32"/>
          <w:szCs w:val="32"/>
        </w:rPr>
        <w:t>根据财政预算绩效管理要求，丰南区文化馆部门以“部门职责—工作活动”为依据，确定部门预算项目和年度预算额度，清晰描述预算项目开支范围和内容，确定预算项目的绩效目标、绩效指标和评价标准，为预算绩效控制、绩效分析、绩效评价打下好的基础。</w:t>
      </w:r>
    </w:p>
    <w:p>
      <w:pPr>
        <w:adjustRightInd w:val="0"/>
        <w:snapToGrid w:val="0"/>
        <w:spacing w:after="0" w:line="580" w:lineRule="exact"/>
        <w:ind w:firstLineChars="200" w:firstLine="640"/>
        <w:rPr>
          <w:rFonts w:ascii="仿宋_GB2312" w:eastAsia="仿宋_GB2312" w:cs="DengXian-Regular"/>
          <w:sz w:val="32"/>
          <w:szCs w:val="32"/>
        </w:rPr>
      </w:pPr>
      <w:r>
        <w:rPr>
          <w:rFonts w:ascii="仿宋_GB2312" w:eastAsia="仿宋_GB2312" w:cs="DengXian-Regular" w:hint="eastAsia"/>
          <w:sz w:val="32"/>
          <w:szCs w:val="32"/>
        </w:rPr>
        <w:t>（二）预算项目绩效评价开展情况</w:t>
      </w:r>
    </w:p>
    <w:p>
      <w:pPr>
        <w:spacing w:line="560" w:lineRule="exact"/>
        <w:ind w:firstLineChars="200" w:firstLine="640"/>
        <w:jc w:val="left"/>
        <w:rPr>
          <w:rFonts w:ascii="宋体" w:eastAsia="宋体" w:cs="DengXian-Regular"/>
          <w:sz w:val="32"/>
          <w:szCs w:val="32"/>
        </w:rPr>
      </w:pPr>
      <w:r>
        <w:rPr>
          <w:rFonts w:ascii="宋体" w:cs="DengXian-Regular" w:hint="eastAsia"/>
          <w:sz w:val="32"/>
          <w:szCs w:val="32"/>
        </w:rPr>
        <w:t>按照财政预算绩效管理要求，丰南区文化馆部门对201</w:t>
      </w:r>
      <w:r>
        <w:rPr>
          <w:rFonts w:ascii="宋体" w:eastAsia="宋体" w:cs="DengXian-Regular" w:hint="eastAsia"/>
          <w:sz w:val="32"/>
          <w:szCs w:val="32"/>
        </w:rPr>
        <w:t>8</w:t>
      </w:r>
      <w:r>
        <w:rPr>
          <w:rFonts w:ascii="宋体" w:cs="DengXian-Regular" w:hint="eastAsia"/>
          <w:sz w:val="32"/>
          <w:szCs w:val="32"/>
        </w:rPr>
        <w:t>年初确定的部门一般公共预算支出项目全面开展了绩效评价，并将绩效评价结果应用到实际工作中，进一步提升了部门预算绩效管理工作水平。</w:t>
      </w:r>
    </w:p>
    <w:p>
      <w:pPr>
        <w:spacing w:line="560" w:lineRule="exact"/>
        <w:ind w:firstLineChars="200" w:firstLine="640"/>
        <w:jc w:val="left"/>
        <w:rPr>
          <w:rFonts w:ascii="宋体" w:eastAsia="宋体" w:cs="DengXian-Regular"/>
          <w:sz w:val="32"/>
          <w:szCs w:val="32"/>
        </w:rPr>
      </w:pPr>
      <w:r>
        <w:rPr>
          <w:rFonts w:ascii="宋体" w:eastAsia="宋体" w:cs="DengXian-Regular" w:hint="eastAsia"/>
          <w:sz w:val="32"/>
          <w:szCs w:val="32"/>
        </w:rPr>
        <w:t>该项目2018年预期绩效目标为计划每周免费开放60小时，全年免费开放3120小时，预计为全区5万余群众提供培训、学习、观摩等免费开放服务。</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绩效指标坚持统筹兼顾、专款专用、厉行节约、绩效评估的原则，分为管理绩效指标和结果绩效指标两大部分。其中管理绩效指标由项目立项10分，资金落实10分，业务管理10分，财务管理10分四部分组成，共占40分。结果绩效指标由产出指标20分，效果指标20分，服务对象满意度指标三部分组成，共占60分。</w:t>
      </w:r>
    </w:p>
    <w:p>
      <w:pPr>
        <w:adjustRightInd w:val="0"/>
        <w:snapToGrid w:val="0"/>
        <w:spacing w:after="0" w:line="580" w:lineRule="exact"/>
        <w:ind w:firstLineChars="200" w:firstLine="640"/>
        <w:rPr>
          <w:rFonts w:ascii="仿宋_GB2312" w:eastAsia="仿宋_GB2312" w:cs="DengXian-Regular"/>
          <w:sz w:val="32"/>
          <w:szCs w:val="32"/>
        </w:rPr>
      </w:pPr>
      <w:r>
        <w:rPr>
          <w:rFonts w:ascii="仿宋_GB2312" w:eastAsia="仿宋_GB2312" w:cs="DengXian-Regular" w:hint="eastAsia"/>
          <w:sz w:val="32"/>
          <w:szCs w:val="32"/>
        </w:rPr>
        <w:t>（三）预算项目绩效自评选例</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我馆项目综合评价得分为100分，评价等级为优。圆满的完成了该项目的所有任务。</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1、项目管理绩效情况分析。根据评价标准，我馆项目管理绩效指标四个部分的实际得分为40分，全部达到了评价标准要求。</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2、项目结果绩效情况分析。根据评价标准，我馆项目结果绩效指标三个部分的实际得分为60分，全部达到了评价标准要求。</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3、我馆在资金的管理与执行中，严格按照国家有关法律、法规和财务规章制度，确保经费使用高效合规。</w:t>
      </w:r>
    </w:p>
    <w:p>
      <w:pPr>
        <w:spacing w:line="580" w:lineRule="exact"/>
        <w:rPr>
          <w:rFonts w:ascii="黑体" w:eastAsia="黑体"/>
        </w:rPr>
      </w:pPr>
    </w:p>
    <w:p>
      <w:pPr>
        <w:pStyle w:val="2"/>
        <w:spacing w:before="0" w:after="0" w:line="580" w:lineRule="exact"/>
        <w:ind w:firstLineChars="200" w:firstLine="640"/>
        <w:rPr>
          <w:rFonts w:ascii="黑体" w:eastAsia="黑体" w:cs="Times New Roman"/>
          <w:b w:val="0"/>
          <w:bCs w:val="0"/>
        </w:rPr>
      </w:pPr>
      <w:r>
        <w:rPr>
          <w:rFonts w:ascii="黑体" w:eastAsia="黑体" w:cs="Times New Roman" w:hint="eastAsia"/>
          <w:b w:val="0"/>
          <w:bCs w:val="0"/>
        </w:rPr>
        <w:t>七、其他重要事项的说明</w:t>
      </w:r>
    </w:p>
    <w:p>
      <w:pPr>
        <w:pStyle w:val="3"/>
        <w:spacing w:before="0" w:after="0" w:line="580" w:lineRule="exact"/>
        <w:ind w:firstLineChars="200" w:firstLine="640"/>
        <w:rPr>
          <w:rFonts w:ascii="楷体_GB2312" w:eastAsia="楷体_GB2312" w:cs="DengXian-Bold"/>
        </w:rPr>
      </w:pPr>
      <w:r>
        <w:rPr>
          <w:rFonts w:ascii="楷体_GB2312" w:eastAsia="楷体_GB2312" w:cs="DengXian-Bold" w:hint="eastAsia"/>
        </w:rPr>
        <w:t>（一）机关运行经费情况</w:t>
      </w:r>
    </w:p>
    <w:p>
      <w:pPr>
        <w:adjustRightInd w:val="0"/>
        <w:snapToGrid w:val="0"/>
        <w:spacing w:after="0" w:line="580" w:lineRule="exact"/>
        <w:ind w:firstLineChars="200" w:firstLine="640"/>
        <w:rPr>
          <w:rFonts w:ascii="宋体" w:cs="DengXian-Regular"/>
          <w:sz w:val="32"/>
          <w:szCs w:val="32"/>
        </w:rPr>
      </w:pPr>
      <w:r>
        <w:rPr>
          <w:rFonts w:ascii="宋体" w:eastAsia="宋体" w:cs="DengXian-Regular" w:hint="eastAsia"/>
          <w:sz w:val="32"/>
          <w:szCs w:val="32"/>
        </w:rPr>
        <w:t>丰南区文化馆</w:t>
      </w:r>
      <w:r>
        <w:rPr>
          <w:rFonts w:ascii="宋体" w:eastAsia="宋体" w:cs="DengXian-Regular"/>
          <w:sz w:val="32"/>
          <w:szCs w:val="32"/>
        </w:rPr>
        <w:t>为全额拨款事业单位，</w:t>
      </w:r>
      <w:r>
        <w:rPr>
          <w:rFonts w:ascii="宋体" w:cs="DengXian-Regular" w:hint="eastAsia"/>
          <w:sz w:val="32"/>
          <w:szCs w:val="32"/>
        </w:rPr>
        <w:t>对照机关运行经费概念，没有此项支出。</w:t>
      </w:r>
    </w:p>
    <w:p>
      <w:pPr>
        <w:pStyle w:val="3"/>
        <w:spacing w:before="0" w:after="0" w:line="580" w:lineRule="exact"/>
        <w:ind w:firstLineChars="200" w:firstLine="640"/>
        <w:rPr>
          <w:rFonts w:ascii="楷体_GB2312" w:eastAsia="楷体_GB2312" w:cs="DengXian-Bold"/>
        </w:rPr>
      </w:pPr>
      <w:r>
        <w:rPr>
          <w:rFonts w:ascii="楷体_GB2312" w:eastAsia="楷体_GB2312" w:cs="DengXian-Bold" w:hint="eastAsia"/>
        </w:rPr>
        <w:t>（二）政府采购情况</w:t>
      </w:r>
    </w:p>
    <w:p>
      <w:pPr>
        <w:widowControl/>
        <w:spacing w:after="0" w:line="580" w:lineRule="exact"/>
        <w:ind w:firstLineChars="200" w:firstLine="640"/>
        <w:jc w:val="left"/>
        <w:rPr>
          <w:rFonts w:ascii="宋体" w:eastAsia="宋体" w:cs="DengXian-Regular"/>
          <w:sz w:val="32"/>
          <w:szCs w:val="32"/>
        </w:rPr>
      </w:pPr>
      <w:r>
        <w:rPr>
          <w:rFonts w:ascii="宋体" w:eastAsia="宋体" w:cs="DengXian-Regular" w:hint="eastAsia"/>
          <w:sz w:val="32"/>
          <w:szCs w:val="32"/>
        </w:rPr>
        <w:t>丰南区文化馆2018年度政府采购支出总额0</w:t>
      </w:r>
      <w:r>
        <w:rPr>
          <w:rFonts w:ascii="宋体" w:eastAsia="宋体" w:cs="DengXian-Regular" w:hint="eastAsia"/>
          <w:sz w:val="32"/>
          <w:szCs w:val="32"/>
          <w:lang w:eastAsia="zh-CN"/>
        </w:rPr>
        <w:t>万</w:t>
      </w:r>
      <w:r>
        <w:rPr>
          <w:rFonts w:ascii="宋体" w:eastAsia="宋体" w:cs="DengXian-Regular" w:hint="eastAsia"/>
          <w:sz w:val="32"/>
          <w:szCs w:val="32"/>
        </w:rPr>
        <w:t>元，从采购类型来看，</w:t>
      </w:r>
      <w:r>
        <w:rPr>
          <w:rFonts w:ascii="宋体" w:eastAsia="宋体" w:cs="仿宋_GB2312"/>
          <w:color w:val="000000"/>
          <w:kern w:val="0"/>
          <w:sz w:val="32"/>
          <w:szCs w:val="32"/>
        </w:rPr>
        <w:t>政府采购货物支出</w:t>
      </w:r>
      <w:r>
        <w:rPr>
          <w:rFonts w:ascii="宋体" w:eastAsia="宋体" w:cs="仿宋_GB2312" w:hint="eastAsia"/>
          <w:color w:val="000000"/>
          <w:kern w:val="0"/>
          <w:sz w:val="32"/>
          <w:szCs w:val="32"/>
        </w:rPr>
        <w:t>0</w:t>
      </w:r>
      <w:r>
        <w:rPr>
          <w:rFonts w:ascii="宋体" w:eastAsia="宋体" w:cs="仿宋_GB2312" w:hint="eastAsia"/>
          <w:color w:val="000000"/>
          <w:kern w:val="0"/>
          <w:sz w:val="32"/>
          <w:szCs w:val="32"/>
          <w:lang w:eastAsia="zh-CN"/>
        </w:rPr>
        <w:t>万</w:t>
      </w:r>
      <w:r>
        <w:rPr>
          <w:rFonts w:ascii="宋体" w:eastAsia="宋体" w:cs="仿宋_GB2312"/>
          <w:color w:val="000000"/>
          <w:kern w:val="0"/>
          <w:sz w:val="32"/>
          <w:szCs w:val="32"/>
        </w:rPr>
        <w:t>元、政府采购工程支出</w:t>
      </w:r>
      <w:r>
        <w:rPr>
          <w:rFonts w:ascii="宋体" w:eastAsia="宋体" w:cs="仿宋_GB2312" w:hint="eastAsia"/>
          <w:color w:val="000000"/>
          <w:kern w:val="0"/>
          <w:sz w:val="32"/>
          <w:szCs w:val="32"/>
        </w:rPr>
        <w:t>0</w:t>
      </w:r>
      <w:r>
        <w:rPr>
          <w:rFonts w:ascii="宋体" w:eastAsia="宋体" w:cs="仿宋_GB2312" w:hint="eastAsia"/>
          <w:color w:val="000000"/>
          <w:kern w:val="0"/>
          <w:sz w:val="32"/>
          <w:szCs w:val="32"/>
          <w:lang w:eastAsia="zh-CN"/>
        </w:rPr>
        <w:t>万</w:t>
      </w:r>
      <w:r>
        <w:rPr>
          <w:rFonts w:ascii="宋体" w:eastAsia="宋体" w:cs="仿宋_GB2312"/>
          <w:color w:val="000000"/>
          <w:kern w:val="0"/>
          <w:sz w:val="32"/>
          <w:szCs w:val="32"/>
        </w:rPr>
        <w:t>元、政府采购服务支出</w:t>
      </w:r>
      <w:r>
        <w:rPr>
          <w:rFonts w:ascii="宋体" w:eastAsia="宋体" w:cs="仿宋_GB2312" w:hint="eastAsia"/>
          <w:color w:val="000000"/>
          <w:kern w:val="0"/>
          <w:sz w:val="32"/>
          <w:szCs w:val="32"/>
        </w:rPr>
        <w:t>0</w:t>
      </w:r>
      <w:r>
        <w:rPr>
          <w:rFonts w:ascii="宋体" w:eastAsia="宋体" w:cs="仿宋_GB2312" w:hint="eastAsia"/>
          <w:color w:val="000000"/>
          <w:kern w:val="0"/>
          <w:sz w:val="32"/>
          <w:szCs w:val="32"/>
          <w:lang w:eastAsia="zh-CN"/>
        </w:rPr>
        <w:t>万</w:t>
      </w:r>
      <w:r>
        <w:rPr>
          <w:rFonts w:ascii="宋体" w:eastAsia="宋体" w:cs="仿宋_GB2312"/>
          <w:color w:val="000000"/>
          <w:kern w:val="0"/>
          <w:sz w:val="32"/>
          <w:szCs w:val="32"/>
        </w:rPr>
        <w:t>元。</w:t>
      </w:r>
    </w:p>
    <w:p>
      <w:pPr>
        <w:pStyle w:val="3"/>
        <w:spacing w:before="0" w:after="0" w:line="580" w:lineRule="exact"/>
        <w:ind w:firstLineChars="200" w:firstLine="640"/>
        <w:rPr>
          <w:rFonts w:ascii="楷体_GB2312" w:eastAsia="楷体_GB2312" w:cs="DengXian-Bold"/>
        </w:rPr>
      </w:pPr>
      <w:r>
        <w:rPr>
          <w:rFonts w:ascii="楷体_GB2312" w:eastAsia="楷体_GB2312" w:cs="DengXian-Bold" w:hint="eastAsia"/>
        </w:rPr>
        <w:t>（三）国有资产占用情况</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截至2018年12月31日，本部门土地房屋及构建物54</w:t>
      </w:r>
      <w:r>
        <w:rPr>
          <w:rFonts w:ascii="宋体" w:eastAsia="宋体" w:cs="DengXian-Regular" w:hint="eastAsia"/>
          <w:sz w:val="32"/>
          <w:szCs w:val="32"/>
          <w:lang w:val="en-US" w:eastAsia="zh-CN"/>
        </w:rPr>
        <w:t>.</w:t>
      </w:r>
      <w:r>
        <w:rPr>
          <w:rFonts w:ascii="宋体" w:eastAsia="宋体" w:cs="DengXian-Regular" w:hint="eastAsia"/>
          <w:sz w:val="32"/>
          <w:szCs w:val="32"/>
        </w:rPr>
        <w:t>30</w:t>
      </w:r>
      <w:r>
        <w:rPr>
          <w:rFonts w:ascii="宋体" w:eastAsia="宋体" w:cs="DengXian-Regular" w:hint="eastAsia"/>
          <w:sz w:val="32"/>
          <w:szCs w:val="32"/>
          <w:lang w:eastAsia="zh-CN"/>
        </w:rPr>
        <w:t>万</w:t>
      </w:r>
      <w:r>
        <w:rPr>
          <w:rFonts w:ascii="宋体" w:eastAsia="宋体" w:cs="DengXian-Regular" w:hint="eastAsia"/>
          <w:sz w:val="32"/>
          <w:szCs w:val="32"/>
        </w:rPr>
        <w:t>元，通用设备81</w:t>
      </w:r>
      <w:r>
        <w:rPr>
          <w:rFonts w:ascii="宋体" w:eastAsia="宋体" w:cs="DengXian-Regular" w:hint="eastAsia"/>
          <w:sz w:val="32"/>
          <w:szCs w:val="32"/>
          <w:lang w:val="en-US" w:eastAsia="zh-CN"/>
        </w:rPr>
        <w:t>.</w:t>
      </w:r>
      <w:r>
        <w:rPr>
          <w:rFonts w:ascii="宋体" w:eastAsia="宋体" w:cs="DengXian-Regular" w:hint="eastAsia"/>
          <w:sz w:val="32"/>
          <w:szCs w:val="32"/>
        </w:rPr>
        <w:t>10</w:t>
      </w:r>
      <w:r>
        <w:rPr>
          <w:rFonts w:ascii="宋体" w:eastAsia="宋体" w:cs="DengXian-Regular" w:hint="eastAsia"/>
          <w:sz w:val="32"/>
          <w:szCs w:val="32"/>
          <w:lang w:eastAsia="zh-CN"/>
        </w:rPr>
        <w:t>万</w:t>
      </w:r>
      <w:r>
        <w:rPr>
          <w:rFonts w:ascii="宋体" w:eastAsia="宋体" w:cs="DengXian-Regular" w:hint="eastAsia"/>
          <w:sz w:val="32"/>
          <w:szCs w:val="32"/>
        </w:rPr>
        <w:t>元，专用设备128</w:t>
      </w:r>
      <w:r>
        <w:rPr>
          <w:rFonts w:ascii="宋体" w:eastAsia="宋体" w:cs="DengXian-Regular" w:hint="eastAsia"/>
          <w:sz w:val="32"/>
          <w:szCs w:val="32"/>
          <w:lang w:val="en-US" w:eastAsia="zh-CN"/>
        </w:rPr>
        <w:t>.</w:t>
      </w:r>
      <w:r>
        <w:rPr>
          <w:rFonts w:ascii="宋体" w:eastAsia="宋体" w:cs="DengXian-Regular" w:hint="eastAsia"/>
          <w:sz w:val="32"/>
          <w:szCs w:val="32"/>
        </w:rPr>
        <w:t>5</w:t>
      </w:r>
      <w:r>
        <w:rPr>
          <w:rFonts w:ascii="宋体" w:eastAsia="宋体" w:cs="DengXian-Regular" w:hint="eastAsia"/>
          <w:sz w:val="32"/>
          <w:szCs w:val="32"/>
          <w:lang w:val="en-US" w:eastAsia="zh-CN"/>
        </w:rPr>
        <w:t>2万</w:t>
      </w:r>
      <w:r>
        <w:rPr>
          <w:rFonts w:ascii="宋体" w:eastAsia="宋体" w:cs="DengXian-Regular" w:hint="eastAsia"/>
          <w:sz w:val="32"/>
          <w:szCs w:val="32"/>
        </w:rPr>
        <w:t>元，家具用具35</w:t>
      </w:r>
      <w:r>
        <w:rPr>
          <w:rFonts w:ascii="宋体" w:eastAsia="宋体" w:cs="DengXian-Regular" w:hint="eastAsia"/>
          <w:sz w:val="32"/>
          <w:szCs w:val="32"/>
          <w:lang w:val="en-US" w:eastAsia="zh-CN"/>
        </w:rPr>
        <w:t>.</w:t>
      </w:r>
      <w:r>
        <w:rPr>
          <w:rFonts w:ascii="宋体" w:eastAsia="宋体" w:cs="DengXian-Regular" w:hint="eastAsia"/>
          <w:sz w:val="32"/>
          <w:szCs w:val="32"/>
        </w:rPr>
        <w:t>7</w:t>
      </w:r>
      <w:r>
        <w:rPr>
          <w:rFonts w:ascii="宋体" w:eastAsia="宋体" w:cs="DengXian-Regular" w:hint="eastAsia"/>
          <w:sz w:val="32"/>
          <w:szCs w:val="32"/>
          <w:lang w:val="en-US" w:eastAsia="zh-CN"/>
        </w:rPr>
        <w:t>8万</w:t>
      </w:r>
      <w:r>
        <w:rPr>
          <w:rFonts w:ascii="宋体" w:eastAsia="宋体" w:cs="DengXian-Regular" w:hint="eastAsia"/>
          <w:sz w:val="32"/>
          <w:szCs w:val="32"/>
        </w:rPr>
        <w:t>元。本部门共有车辆0辆，比上年无增减变化。</w:t>
      </w:r>
    </w:p>
    <w:p>
      <w:pPr>
        <w:adjustRightInd w:val="0"/>
        <w:snapToGrid w:val="0"/>
        <w:spacing w:after="0" w:line="580" w:lineRule="exact"/>
        <w:ind w:firstLineChars="200" w:firstLine="640"/>
        <w:rPr>
          <w:rFonts w:ascii="宋体" w:eastAsia="宋体" w:cs="DengXian-Regular"/>
          <w:color w:val="000000"/>
          <w:sz w:val="32"/>
          <w:szCs w:val="32"/>
        </w:rPr>
      </w:pPr>
      <w:r>
        <w:rPr>
          <w:rFonts w:ascii="宋体" w:eastAsia="宋体" w:cs="DengXian-Regular" w:hint="eastAsia"/>
          <w:color w:val="000000"/>
          <w:sz w:val="32"/>
          <w:szCs w:val="32"/>
        </w:rPr>
        <w:t>单位价值</w:t>
      </w:r>
      <w:r>
        <w:rPr>
          <w:rFonts w:ascii="宋体" w:eastAsia="宋体" w:cs="TimesNewRomanPSMT" w:hint="eastAsia"/>
          <w:color w:val="000000"/>
          <w:sz w:val="32"/>
          <w:szCs w:val="32"/>
        </w:rPr>
        <w:t>50</w:t>
      </w:r>
      <w:r>
        <w:rPr>
          <w:rFonts w:ascii="宋体" w:eastAsia="宋体" w:cs="DengXian-Regular" w:hint="eastAsia"/>
          <w:color w:val="000000"/>
          <w:sz w:val="32"/>
          <w:szCs w:val="32"/>
        </w:rPr>
        <w:t>万元以上通用设备0台（套），比上年无增减变化，单位价值</w:t>
      </w:r>
      <w:r>
        <w:rPr>
          <w:rFonts w:ascii="宋体" w:eastAsia="宋体" w:cs="TimesNewRomanPSMT" w:hint="eastAsia"/>
          <w:color w:val="000000"/>
          <w:sz w:val="32"/>
          <w:szCs w:val="32"/>
        </w:rPr>
        <w:t>100</w:t>
      </w:r>
      <w:r>
        <w:rPr>
          <w:rFonts w:ascii="宋体" w:eastAsia="宋体" w:cs="DengXian-Regular" w:hint="eastAsia"/>
          <w:color w:val="000000"/>
          <w:sz w:val="32"/>
          <w:szCs w:val="32"/>
        </w:rPr>
        <w:t>万元以上专用设备0台（套）比上年无增减变化。</w:t>
      </w:r>
    </w:p>
    <w:p>
      <w:pPr>
        <w:pStyle w:val="3"/>
        <w:spacing w:before="0" w:after="0" w:line="580" w:lineRule="exact"/>
        <w:ind w:firstLineChars="200" w:firstLine="640"/>
        <w:rPr>
          <w:rFonts w:ascii="楷体_GB2312" w:eastAsia="楷体_GB2312" w:cs="DengXian-Bold"/>
        </w:rPr>
      </w:pPr>
      <w:r>
        <w:rPr>
          <w:rFonts w:ascii="楷体_GB2312" w:eastAsia="楷体_GB2312" w:cs="DengXian-Bold" w:hint="eastAsia"/>
        </w:rPr>
        <w:t>（四）其他需要说明的情况</w:t>
      </w:r>
    </w:p>
    <w:p>
      <w:pPr>
        <w:adjustRightInd w:val="0"/>
        <w:snapToGrid w:val="0"/>
        <w:spacing w:after="0" w:line="580" w:lineRule="exact"/>
        <w:ind w:firstLineChars="200" w:firstLine="640"/>
        <w:rPr>
          <w:rFonts w:ascii="宋体" w:eastAsia="宋体" w:cs="DengXian-Regular"/>
          <w:sz w:val="32"/>
          <w:szCs w:val="32"/>
        </w:rPr>
      </w:pPr>
      <w:r>
        <w:rPr>
          <w:rFonts w:ascii="宋体" w:eastAsia="宋体" w:cs="DengXian-Regular" w:hint="eastAsia"/>
          <w:sz w:val="32"/>
          <w:szCs w:val="32"/>
        </w:rPr>
        <w:t>丰南区文化馆2018年度未发生“三公”经费支出、政府性基金收入和支出、国有资本经营支出、政府采购支出，故公开07-10表以空表列示。</w:t>
      </w:r>
    </w:p>
    <w:p>
      <w:pPr>
        <w:widowControl/>
        <w:spacing w:after="0" w:line="580" w:lineRule="exact"/>
        <w:ind w:firstLineChars="200" w:firstLine="880"/>
        <w:jc w:val="left"/>
        <w:rPr>
          <w:rFonts w:ascii="宋体" w:cs="MS-UIGothic,Bold"/>
          <w:b/>
          <w:bCs/>
          <w:kern w:val="0"/>
          <w:sz w:val="44"/>
          <w:szCs w:val="44"/>
        </w:rPr>
        <w:sectPr>
          <w:pgSz w:w="11906" w:h="16838"/>
          <w:pgMar w:top="2098" w:right="1474" w:bottom="1984" w:left="1588" w:header="851" w:footer="992" w:gutter="0"/>
          <w:docGrid w:type="lines" w:linePitch="312" w:charSpace="0"/>
        </w:sectPr>
      </w:pPr>
    </w:p>
    <w:p>
      <w:pPr>
        <w:rPr>
          <w:rFonts w:ascii="宋体" w:cs="ArialUnicodeMS"/>
          <w:color w:val="000000"/>
          <w:kern w:val="0"/>
        </w:rPr>
        <w:sectPr>
          <w:pgSz w:w="11906" w:h="16838"/>
          <w:pgMar w:top="2098" w:right="1474" w:bottom="1984" w:left="1588" w:header="851" w:footer="992" w:gutter="0"/>
          <w:docGrid w:type="lines" w:linePitch="312" w:charSpace="0"/>
        </w:sectPr>
      </w:pPr>
      <w:r>
        <w:rPr>
          <w:rFonts w:ascii="宋体" w:cs="ArialUnicodeMS" w:hint="eastAsia"/>
          <w:color w:val="000000"/>
          <w:kern w:val="0"/>
        </w:rPr>
        <w:drawing>
          <wp:anchor distT="0" distB="0" distL="0" distR="0" simplePos="0" relativeHeight="4" behindDoc="1" locked="0" layoutInCell="1" hidden="0" allowOverlap="1">
            <wp:simplePos x="0" y="0"/>
            <wp:positionH relativeFrom="column">
              <wp:posOffset>-1009013</wp:posOffset>
            </wp:positionH>
            <wp:positionV relativeFrom="paragraph">
              <wp:posOffset>-1337945</wp:posOffset>
            </wp:positionV>
            <wp:extent cx="7550149" cy="10680065"/>
            <wp:effectExtent l="0" t="0" r="0" b="0"/>
            <wp:wrapNone/>
            <wp:docPr id="160" name="图片 21"/>
            <wp:cNvGraphicFramePr>
              <a:graphicFrameLocks noChangeAspect="0"/>
            </wp:cNvGraphicFramePr>
            <a:graphic>
              <a:graphicData uri="http://schemas.openxmlformats.org/drawingml/2006/picture">
                <pic:pic>
                  <pic:nvPicPr>
                    <pic:cNvPr id="161" name="图片 21 161"/>
                    <pic:cNvPicPr/>
                  </pic:nvPicPr>
                  <pic:blipFill>
                    <a:blip r:embed="rId11"/>
                    <a:stretch>
                      <a:fillRect/>
                    </a:stretch>
                  </pic:blipFill>
                  <pic:spPr>
                    <a:xfrm rot="0">
                      <a:off x="0" y="0"/>
                      <a:ext cx="7550149" cy="10680065"/>
                    </a:xfrm>
                    <a:prstGeom prst="rect"/>
                    <a:noFill/>
                    <a:ln w="9525" cmpd="sng" cap="flat">
                      <a:noFill/>
                      <a:prstDash val="solid"/>
                      <a:miter/>
                    </a:ln>
                  </pic:spPr>
                </pic:pic>
              </a:graphicData>
            </a:graphic>
          </wp:anchor>
        </w:drawing>
      </w:r>
      <w:r>
        <w:rPr>
          <w:sz w:val="72"/>
        </w:rPr>
        <mc:AlternateContent>
          <mc:Choice Requires="wps">
            <w:drawing>
              <wp:anchor distT="0" distB="0" distL="91438" distR="91438" simplePos="0" relativeHeight="77" behindDoc="0" locked="0" layoutInCell="1" hidden="0" allowOverlap="1">
                <wp:simplePos x="0" y="0"/>
                <wp:positionH relativeFrom="column">
                  <wp:posOffset>-999490</wp:posOffset>
                </wp:positionH>
                <wp:positionV relativeFrom="paragraph">
                  <wp:posOffset>2956560</wp:posOffset>
                </wp:positionV>
                <wp:extent cx="7571740" cy="2020569"/>
                <wp:effectExtent l="0" t="0" r="0" b="0"/>
                <wp:wrapNone/>
                <wp:docPr id="162" name="1116"/>
                <wp:cNvGraphicFramePr>
                  <a:graphicFrameLocks noChangeAspect="0"/>
                </wp:cNvGraphicFramePr>
                <a:graphic>
                  <a:graphicData uri="http://schemas.microsoft.com/office/word/2010/wordprocessingShape">
                    <wps:wsp>
                      <wps:cNvSpPr/>
                      <wps:spPr>
                        <a:xfrm rot="0">
                          <a:off x="0" y="0"/>
                          <a:ext cx="7571740" cy="2020569"/>
                        </a:xfrm>
                        <a:prstGeom prst="rect"/>
                        <a:noFill/>
                        <a:ln w="9525" cmpd="sng" cap="flat">
                          <a:noFill/>
                          <a:prstDash val="solid"/>
                          <a:miter/>
                        </a:ln>
                      </wps:spPr>
                      <wps:txbx id="163">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第四部分</w:t>
                            </w:r>
                          </w:p>
                          <w:p>
                            <w:pPr>
                              <w:widowControl/>
                              <w:spacing w:line="1200" w:lineRule="exact"/>
                              <w:jc w:val="center"/>
                              <w:rPr>
                                <w:color w:val="FDEFBE"/>
                                <w:sz w:val="96"/>
                                <w:szCs w:val="96"/>
                              </w:rPr>
                            </w:pPr>
                            <w:r>
                              <w:rPr>
                                <w:rFonts w:ascii="黑体" w:eastAsia="黑体" w:hint="eastAsia"/>
                                <w:color w:val="FDEFBE"/>
                                <w:sz w:val="96"/>
                                <w:szCs w:val="96"/>
                              </w:rPr>
                              <w:t>相关名词解释</w:t>
                            </w:r>
                          </w:p>
                        </w:txbxContent>
                      </wps:txbx>
                      <wps:bodyPr vert="horz" wrap="square" lIns="91440" tIns="45720" rIns="91440" bIns="45720" anchor="t" anchorCtr="0" upright="1">
                        <a:noAutofit/>
                      </wps:bodyPr>
                    </wps:wsp>
                  </a:graphicData>
                </a:graphic>
              </wp:anchor>
            </w:drawing>
          </mc:Choice>
          <mc:Fallback>
            <w:pict>
              <v:rect type="#_x0000_t1" id="1116 164" o:spid="_x0000_s164" filled="f" stroked="f" style="position:absolute;margin-left:-78.7pt;margin-top:232.8pt;width:596.2pt;height:159.09998pt;z-index:77;mso-position-horizontal:absolute;mso-position-vertical:absolute;mso-wrap-distance-left:7.19989pt;mso-wrap-distance-right:7.19989pt;mso-wrap-style:square;">
                <v:stroke color="#000000"/>
                <v:textbox id="879" inset="2.54mm,1.27mm,2.54mm,1.27mm" o:insetmode="custom" style="layout-flow:horizontal;v-text-anchor:top;">
                  <w:txbxContent>
                    <w:p>
                      <w:pPr>
                        <w:widowControl/>
                        <w:spacing w:line="1200" w:lineRule="exact"/>
                        <w:jc w:val="center"/>
                        <w:rPr>
                          <w:rFonts w:ascii="黑体" w:eastAsia="黑体"/>
                          <w:color w:val="FDEFBE"/>
                          <w:sz w:val="96"/>
                          <w:szCs w:val="96"/>
                        </w:rPr>
                      </w:pPr>
                      <w:r>
                        <w:rPr>
                          <w:rFonts w:ascii="黑体" w:eastAsia="黑体" w:hint="eastAsia"/>
                          <w:color w:val="FDEFBE"/>
                          <w:sz w:val="96"/>
                          <w:szCs w:val="96"/>
                        </w:rPr>
                        <w:t>第四部分</w:t>
                      </w:r>
                    </w:p>
                    <w:p>
                      <w:pPr>
                        <w:widowControl/>
                        <w:spacing w:line="1200" w:lineRule="exact"/>
                        <w:jc w:val="center"/>
                        <w:rPr>
                          <w:color w:val="FDEFBE"/>
                          <w:sz w:val="96"/>
                          <w:szCs w:val="96"/>
                        </w:rPr>
                      </w:pPr>
                      <w:r>
                        <w:rPr>
                          <w:rFonts w:ascii="黑体" w:eastAsia="黑体" w:hint="eastAsia"/>
                          <w:color w:val="FDEFBE"/>
                          <w:sz w:val="96"/>
                          <w:szCs w:val="96"/>
                        </w:rPr>
                        <w:t>相关名词解释</w:t>
                      </w:r>
                    </w:p>
                  </w:txbxContent>
                </v:textbox>
              </v:rect>
            </w:pict>
          </mc:Fallback>
        </mc:AlternateContent>
      </w:r>
    </w:p>
    <w:p>
      <w:pPr>
        <w:widowControl/>
        <w:spacing w:after="0" w:line="560" w:lineRule="exact"/>
        <w:ind w:firstLineChars="200" w:firstLine="640"/>
        <w:rPr>
          <w:rFonts w:ascii="仿宋_GB2312" w:eastAsia="仿宋_GB2312"/>
          <w:color w:val="000000"/>
          <w:kern w:val="0"/>
          <w:sz w:val="32"/>
          <w:szCs w:val="32"/>
        </w:rPr>
      </w:pPr>
      <w:r>
        <w:rPr>
          <w:rFonts w:ascii="仿宋_GB2312" w:eastAsia="仿宋_GB2312" w:hint="eastAsia"/>
          <w:b/>
          <w:bCs/>
          <w:color w:val="000000"/>
          <w:kern w:val="0"/>
          <w:sz w:val="32"/>
          <w:szCs w:val="32"/>
        </w:rPr>
        <w:t>（一）财政拨款收入：</w:t>
      </w:r>
      <w:r>
        <w:rPr>
          <w:rFonts w:ascii="仿宋_GB2312" w:eastAsia="仿宋_GB2312" w:hint="eastAsia"/>
          <w:color w:val="000000"/>
          <w:kern w:val="0"/>
          <w:sz w:val="32"/>
          <w:szCs w:val="32"/>
        </w:rPr>
        <w:t>指本年度从省级财政部门取得的财政拨款。</w:t>
      </w:r>
    </w:p>
    <w:p>
      <w:pPr>
        <w:widowControl/>
        <w:spacing w:after="0" w:line="560" w:lineRule="exact"/>
        <w:ind w:firstLineChars="200" w:firstLine="640"/>
        <w:rPr>
          <w:rFonts w:ascii="仿宋_GB2312" w:eastAsia="仿宋_GB2312"/>
          <w:color w:val="000000"/>
          <w:kern w:val="0"/>
          <w:sz w:val="32"/>
          <w:szCs w:val="32"/>
        </w:rPr>
      </w:pPr>
      <w:r>
        <w:rPr>
          <w:rFonts w:ascii="仿宋_GB2312" w:eastAsia="仿宋_GB2312" w:hint="eastAsia"/>
          <w:b/>
          <w:bCs/>
          <w:color w:val="000000"/>
          <w:kern w:val="0"/>
          <w:sz w:val="32"/>
          <w:szCs w:val="32"/>
        </w:rPr>
        <w:t>（二）事业收入：</w:t>
      </w:r>
      <w:r>
        <w:rPr>
          <w:rFonts w:ascii="仿宋_GB2312" w:eastAsia="仿宋_GB2312" w:hint="eastAsia"/>
          <w:color w:val="000000"/>
          <w:kern w:val="0"/>
          <w:sz w:val="32"/>
          <w:szCs w:val="32"/>
        </w:rPr>
        <w:t>指事业单位开展专业业务活动及辅助活动所取得的收入。</w:t>
      </w:r>
    </w:p>
    <w:p>
      <w:pPr>
        <w:widowControl/>
        <w:spacing w:after="0" w:line="560" w:lineRule="exact"/>
        <w:ind w:firstLineChars="200" w:firstLine="640"/>
        <w:rPr>
          <w:rFonts w:ascii="仿宋_GB2312" w:eastAsia="仿宋_GB2312"/>
          <w:color w:val="000000"/>
          <w:kern w:val="0"/>
          <w:sz w:val="32"/>
          <w:szCs w:val="32"/>
        </w:rPr>
      </w:pPr>
      <w:r>
        <w:rPr>
          <w:rFonts w:ascii="仿宋_GB2312" w:eastAsia="仿宋_GB2312" w:hint="eastAsia"/>
          <w:b/>
          <w:bCs/>
          <w:color w:val="000000"/>
          <w:kern w:val="0"/>
          <w:sz w:val="32"/>
          <w:szCs w:val="32"/>
        </w:rPr>
        <w:t>（三）其他收入：</w:t>
      </w:r>
      <w:r>
        <w:rPr>
          <w:rFonts w:ascii="仿宋_GB2312" w:eastAsia="仿宋_GB2312" w:hint="eastAsia"/>
          <w:color w:val="000000"/>
          <w:kern w:val="0"/>
          <w:sz w:val="32"/>
          <w:szCs w:val="32"/>
        </w:rPr>
        <w:t>指除 “财政拨款收入”、“上级补助收入”、“事业收入”、“经营收入”、“附</w:t>
      </w:r>
      <w:r>
        <w:rPr>
          <w:rFonts w:ascii="宋体" w:cs="宋体" w:hint="eastAsia"/>
          <w:color w:val="000000"/>
          <w:kern w:val="0"/>
          <w:sz w:val="32"/>
          <w:szCs w:val="32"/>
        </w:rPr>
        <w:t>属单位上缴收入</w:t>
      </w:r>
      <w:r>
        <w:rPr>
          <w:rFonts w:ascii="仿宋_GB2312" w:eastAsia="仿宋_GB2312" w:hint="eastAsia"/>
          <w:color w:val="000000"/>
          <w:kern w:val="0"/>
          <w:sz w:val="32"/>
          <w:szCs w:val="32"/>
        </w:rPr>
        <w:t>”以外的各项收入。</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（四）</w:t>
      </w:r>
      <w:r>
        <w:rPr>
          <w:rFonts w:ascii="仿宋_GB2312" w:eastAsia="仿宋_GB2312" w:hint="eastAsia"/>
          <w:b/>
          <w:bCs/>
          <w:color w:val="000000"/>
          <w:kern w:val="0"/>
          <w:sz w:val="32"/>
          <w:szCs w:val="32"/>
        </w:rPr>
        <w:t>用事业基金弥补收支差额：</w:t>
      </w:r>
      <w:r>
        <w:rPr>
          <w:rFonts w:ascii="仿宋_GB2312" w:eastAsia="仿宋_GB2312" w:hint="eastAsia"/>
          <w:color w:val="000000"/>
          <w:kern w:val="0"/>
          <w:sz w:val="32"/>
          <w:szCs w:val="32"/>
        </w:rPr>
        <w:t>指事业单位在用当年的“财政拨款收入”、“事业收入”、“其他收入”不足以安排当年支出的情况下，使用以前年度积累的事业基金（事业单位当年收支相抵后按国家规定提取、用于弥补以后年度收支差额的基金）弥补本年度收支缺口的资金。</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（五）</w:t>
      </w:r>
      <w:r>
        <w:rPr>
          <w:rFonts w:ascii="仿宋_GB2312" w:eastAsia="仿宋_GB2312" w:hint="eastAsia"/>
          <w:b/>
          <w:bCs/>
          <w:color w:val="000000"/>
          <w:kern w:val="0"/>
          <w:sz w:val="32"/>
          <w:szCs w:val="32"/>
        </w:rPr>
        <w:t>年初结转和结余：</w:t>
      </w:r>
      <w:r>
        <w:rPr>
          <w:rFonts w:ascii="仿宋_GB2312" w:eastAsia="仿宋_GB2312" w:hint="eastAsia"/>
          <w:color w:val="000000"/>
          <w:kern w:val="0"/>
          <w:sz w:val="32"/>
          <w:szCs w:val="32"/>
        </w:rPr>
        <w:t>指以前年度尚未完成、结转到本年仍按原规定用途继续使用的资金。</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（六）</w:t>
      </w:r>
      <w:r>
        <w:rPr>
          <w:rFonts w:ascii="仿宋_GB2312" w:eastAsia="仿宋_GB2312" w:hint="eastAsia"/>
          <w:b/>
          <w:bCs/>
          <w:color w:val="000000"/>
          <w:kern w:val="0"/>
          <w:sz w:val="32"/>
          <w:szCs w:val="32"/>
        </w:rPr>
        <w:t>结余分配：</w:t>
      </w:r>
      <w:r>
        <w:rPr>
          <w:rFonts w:ascii="仿宋_GB2312" w:eastAsia="仿宋_GB2312" w:hint="eastAsia"/>
          <w:color w:val="000000"/>
          <w:kern w:val="0"/>
          <w:sz w:val="32"/>
          <w:szCs w:val="32"/>
        </w:rPr>
        <w:t>指事业单位按照事业单位会计制度的规定从非财政补助结余中分配的事业基金和职工福利基金等。</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（七）</w:t>
      </w:r>
      <w:r>
        <w:rPr>
          <w:rFonts w:ascii="仿宋_GB2312" w:eastAsia="仿宋_GB2312" w:hint="eastAsia"/>
          <w:b/>
          <w:bCs/>
          <w:color w:val="000000"/>
          <w:kern w:val="0"/>
          <w:sz w:val="32"/>
          <w:szCs w:val="32"/>
        </w:rPr>
        <w:t>年</w:t>
      </w:r>
      <w:r>
        <w:rPr>
          <w:rFonts w:ascii="宋体" w:cs="宋体" w:hint="eastAsia"/>
          <w:b/>
          <w:bCs/>
          <w:color w:val="000000"/>
          <w:kern w:val="0"/>
          <w:sz w:val="32"/>
          <w:szCs w:val="32"/>
        </w:rPr>
        <w:t>末</w:t>
      </w:r>
      <w:r>
        <w:rPr>
          <w:rFonts w:ascii="仿宋_GB2312" w:eastAsia="仿宋_GB2312" w:hint="eastAsia"/>
          <w:b/>
          <w:bCs/>
          <w:color w:val="000000"/>
          <w:kern w:val="0"/>
          <w:sz w:val="32"/>
          <w:szCs w:val="32"/>
        </w:rPr>
        <w:t>结转和结</w:t>
      </w:r>
      <w:r>
        <w:rPr>
          <w:rFonts w:ascii="仿宋_GB2312" w:eastAsia="仿宋_GB2312"/>
          <w:b/>
          <w:bCs/>
          <w:color w:val="000000"/>
          <w:kern w:val="0"/>
          <w:sz w:val="32"/>
          <w:szCs w:val="32"/>
        </w:rPr>
        <mc:AlternateContent>
          <mc:Choice Requires="wps">
            <w:drawing>
              <wp:anchor distT="0" distB="0" distL="91438" distR="91438" simplePos="0" relativeHeight="81" behindDoc="0" locked="1" layoutInCell="1" hidden="0" allowOverlap="1">
                <wp:simplePos x="0" y="0"/>
                <wp:positionH relativeFrom="column">
                  <wp:posOffset>-1029334</wp:posOffset>
                </wp:positionH>
                <wp:positionV relativeFrom="page">
                  <wp:posOffset>503556</wp:posOffset>
                </wp:positionV>
                <wp:extent cx="3363595" cy="558163"/>
                <wp:effectExtent l="0" t="0" r="0" b="0"/>
                <wp:wrapNone/>
                <wp:docPr id="165" name="组合"/>
                <wp:cNvGraphicFramePr>
                  <a:graphicFrameLocks noChangeAspect="0"/>
                </wp:cNvGraphicFramePr>
                <a:graphic>
                  <a:graphicData uri="http://schemas.microsoft.com/office/word/2010/wordprocessingGroup">
                    <wpg:wgp>
                      <wpg:cNvPr id="166" name="组合 166"/>
                      <wpg:cNvGrpSpPr/>
                      <wpg:grpSpPr>
                        <a:xfrm rot="0">
                          <a:off x="0" y="0"/>
                          <a:ext cx="3363595" cy="558163"/>
                          <a:chOff x="0" y="0"/>
                          <a:chExt cx="3363595" cy="558163"/>
                        </a:xfrm>
                        <a:prstGeom prst="rect"/>
                        <a:solidFill>
                          <a:srgbClr val="FFFFFF"/>
                        </a:solidFill>
                        <a:ln w="9525" cmpd="sng" cap="flat">
                          <a:solidFill>
                            <a:srgbClr val="000000"/>
                          </a:solidFill>
                          <a:prstDash val="solid"/>
                          <a:miter/>
                        </a:ln>
                      </wpg:grpSpPr>
                      <wps:wsp>
                        <wps:cNvPr id="167" name="_s171 167"/>
                        <wps:cNvSpPr/>
                        <wps:spPr>
                          <a:xfrm rot="0">
                            <a:off x="0" y="0"/>
                            <a:ext cx="3363595" cy="469162"/>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68" name="_s172 168"/>
                        <wps:cNvSpPr/>
                        <wps:spPr>
                          <a:xfrm rot="0">
                            <a:off x="10160" y="109344"/>
                            <a:ext cx="3275965" cy="448819"/>
                          </a:xfrm>
                          <a:prstGeom prst="rect"/>
                          <a:solidFill>
                            <a:srgbClr val="AD002D"/>
                          </a:solidFill>
                          <a:ln w="25400" cmpd="sng" cap="flat">
                            <a:solidFill>
                              <a:srgbClr val="AF7621"/>
                            </a:solidFill>
                            <a:prstDash val="solid"/>
                            <a:miter/>
                          </a:ln>
                        </wps:spPr>
                        <wps:txbx id="169">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2018年度部门决算☞名词解释</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70" o:spid="_x0000_s170" coordorigin="-32,793" coordsize="5297,878" style="position:absolute;margin-left:-81.049995pt;margin-top:39.650078pt;width:264.85pt;height:43.94991pt;z-index:81;mso-position-horizontal:absolute;mso-position-vertical:absolute;mso-position-vertical-relative:page;mso-wrap-distance-left:7.19989pt;mso-wrap-distance-right:7.19989pt;">
                <v:rect type="#_x0000_t1" id="_s171" o:spid="_x0000_s171" style="position:absolute;left:-32;top:793;width:5297;height:738;" fillcolor="#D8D8D8" stroked="f">
                  <v:stroke color="#000000"/>
                </v:rect>
                <v:rect type="#_x0000_t1" id="_s172" o:spid="_x0000_s172" style="position:absolute;left:-16;top:965;width:5159;height:706;mso-wrap-style:square;" fillcolor="#AD002D" stroked="t" strokeweight="2.0pt">
                  <v:textbox id="880"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2018年度部门决算☞名词解释</w:t>
                        </w:r>
                      </w:p>
                      <w:p>
                        <w:pPr>
                          <w:jc w:val="center"/>
                        </w:pPr>
                      </w:p>
                    </w:txbxContent>
                  </v:textbox>
                  <v:stroke color="#AF7621"/>
                </v:rect>
                <w10:anchorLock/>
              </v:group>
            </w:pict>
          </mc:Fallback>
        </mc:AlternateContent>
      </w:r>
      <w:r>
        <w:rPr>
          <w:rFonts w:ascii="仿宋_GB2312" w:eastAsia="仿宋_GB2312" w:hint="eastAsia"/>
          <w:b/>
          <w:bCs/>
          <w:color w:val="000000"/>
          <w:kern w:val="0"/>
          <w:sz w:val="32"/>
          <w:szCs w:val="32"/>
        </w:rPr>
        <w:t>余：</w:t>
      </w:r>
      <w:r>
        <w:rPr>
          <w:rFonts w:ascii="仿宋_GB2312" w:eastAsia="仿宋_GB2312" w:hint="eastAsia"/>
          <w:color w:val="000000"/>
          <w:kern w:val="0"/>
          <w:sz w:val="32"/>
          <w:szCs w:val="32"/>
        </w:rPr>
        <w:t>指本年度或以前年度预算安排、因</w:t>
      </w:r>
    </w:p>
    <w:p>
      <w:pPr>
        <w:widowControl/>
        <w:spacing w:after="0" w:line="560" w:lineRule="exact"/>
        <w:rPr>
          <w:rFonts w:ascii="宋体" w:eastAsia="宋体"/>
          <w:color w:val="000000"/>
          <w:kern w:val="0"/>
          <w:sz w:val="32"/>
          <w:szCs w:val="32"/>
        </w:rPr>
      </w:pPr>
      <w:r>
        <w:rPr>
          <w:rFonts w:ascii="宋体" w:eastAsia="宋体" w:hint="eastAsia"/>
          <w:color w:val="000000"/>
          <w:kern w:val="0"/>
          <w:sz w:val="32"/>
          <w:szCs w:val="32"/>
        </w:rPr>
        <w:t>客观条件发生变化无法按原计划实施，需要延迟到以后年度按有关规定继续使用的资金。</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（八）</w:t>
      </w:r>
      <w:r>
        <w:rPr>
          <w:rFonts w:ascii="仿宋_GB2312" w:eastAsia="仿宋_GB2312" w:hint="eastAsia"/>
          <w:b/>
          <w:bCs/>
          <w:color w:val="000000"/>
          <w:kern w:val="0"/>
          <w:sz w:val="32"/>
          <w:szCs w:val="32"/>
        </w:rPr>
        <w:t>基本支出：</w:t>
      </w:r>
      <w:r>
        <w:rPr>
          <w:rFonts w:ascii="仿宋_GB2312" w:eastAsia="仿宋_GB2312" w:hint="eastAsia"/>
          <w:color w:val="000000"/>
          <w:kern w:val="0"/>
          <w:sz w:val="32"/>
          <w:szCs w:val="32"/>
        </w:rPr>
        <w:t>指为保障机构正常运转、完成日常工作任务而发生的人员支出和公用支出。</w:t>
      </w:r>
    </w:p>
    <w:p>
      <w:pPr>
        <w:widowControl/>
        <w:spacing w:after="0" w:line="560" w:lineRule="exact"/>
        <w:ind w:firstLineChars="200" w:firstLine="640"/>
        <w:rPr>
          <w:rFonts w:ascii="宋体" w:cs="宋体"/>
          <w:sz w:val="28"/>
          <w:szCs w:val="28"/>
        </w:rPr>
      </w:pPr>
      <w:r>
        <w:rPr>
          <w:rFonts w:ascii="宋体" w:eastAsia="宋体" w:hint="eastAsia"/>
          <w:b/>
          <w:bCs/>
          <w:color w:val="000000"/>
          <w:kern w:val="0"/>
          <w:sz w:val="32"/>
          <w:szCs w:val="32"/>
        </w:rPr>
        <w:t>（九）</w:t>
      </w:r>
      <w:r>
        <w:rPr>
          <w:rFonts w:ascii="仿宋_GB2312" w:eastAsia="仿宋_GB2312" w:hint="eastAsia"/>
          <w:b/>
          <w:bCs/>
          <w:color w:val="000000"/>
          <w:kern w:val="0"/>
          <w:sz w:val="32"/>
          <w:szCs w:val="32"/>
        </w:rPr>
        <w:t>项目支出：</w:t>
      </w:r>
      <w:r>
        <w:rPr>
          <w:rFonts w:ascii="仿宋_GB2312" w:eastAsia="仿宋_GB2312" w:hint="eastAsia"/>
          <w:color w:val="000000"/>
          <w:kern w:val="0"/>
          <w:sz w:val="32"/>
          <w:szCs w:val="32"/>
        </w:rPr>
        <w:t>指在基本支出之外为完成特定行政任务和事业发展目标所发生的支出。</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kern w:val="0"/>
          <w:sz w:val="32"/>
          <w:szCs w:val="32"/>
        </w:rPr>
        <w:t>（十）</w:t>
      </w:r>
      <w:r>
        <w:rPr>
          <w:rFonts w:ascii="仿宋_GB2312" w:eastAsia="仿宋_GB2312" w:hint="eastAsia"/>
          <w:b/>
          <w:bCs/>
          <w:kern w:val="0"/>
          <w:sz w:val="32"/>
          <w:szCs w:val="32"/>
        </w:rPr>
        <w:t>基本建设支出：</w:t>
      </w:r>
      <w:r>
        <w:rPr>
          <w:rFonts w:ascii="仿宋_GB2312" w:eastAsia="仿宋_GB2312" w:hint="eastAsia"/>
          <w:bCs/>
          <w:kern w:val="0"/>
          <w:sz w:val="32"/>
          <w:szCs w:val="32"/>
        </w:rPr>
        <w:t>指</w:t>
      </w:r>
      <w:r>
        <w:rPr>
          <w:rFonts w:ascii="仿宋_GB2312" w:eastAsia="仿宋_GB2312" w:hint="eastAsia"/>
          <w:color w:val="000000"/>
          <w:kern w:val="0"/>
          <w:sz w:val="32"/>
          <w:szCs w:val="32"/>
        </w:rPr>
        <w:t>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kern w:val="0"/>
          <w:sz w:val="32"/>
          <w:szCs w:val="32"/>
        </w:rPr>
        <w:t>（十一）</w:t>
      </w:r>
      <w:r>
        <w:rPr>
          <w:rFonts w:ascii="仿宋_GB2312" w:eastAsia="仿宋_GB2312" w:hint="eastAsia"/>
          <w:b/>
          <w:bCs/>
          <w:kern w:val="0"/>
          <w:sz w:val="32"/>
          <w:szCs w:val="32"/>
        </w:rPr>
        <w:t>其他资本性支出：</w:t>
      </w:r>
      <w:r>
        <w:rPr>
          <w:rFonts w:ascii="仿宋_GB2312" w:eastAsia="仿宋_GB2312" w:hint="eastAsia"/>
          <w:color w:val="000000"/>
          <w:kern w:val="0"/>
          <w:sz w:val="32"/>
          <w:szCs w:val="32"/>
        </w:rPr>
        <w:t>指由各级非发展与改革部门集中安排的用于购置固定资产、战备性和应急性储备、土地和无形资产，以及购建基础设施、大型修缮和财政支持企业更新改造所发生的支出。</w:t>
      </w:r>
    </w:p>
    <w:p>
      <w:pPr>
        <w:spacing w:line="560" w:lineRule="exact"/>
        <w:ind w:firstLineChars="200" w:firstLine="640"/>
        <w:jc w:val="left"/>
        <w:rPr>
          <w:rFonts w:ascii="仿宋_GB2312" w:eastAsia="仿宋_GB2312"/>
          <w:color w:val="000000"/>
          <w:kern w:val="0"/>
          <w:sz w:val="32"/>
          <w:szCs w:val="32"/>
        </w:rPr>
      </w:pPr>
      <w:r>
        <w:rPr>
          <w:rFonts w:ascii="宋体" w:eastAsia="宋体" w:hint="eastAsia"/>
          <w:b/>
          <w:bCs/>
          <w:color w:val="000000"/>
          <w:kern w:val="0"/>
          <w:sz w:val="32"/>
          <w:szCs w:val="32"/>
        </w:rPr>
        <w:t>（十二）</w:t>
      </w:r>
      <w:r>
        <w:rPr>
          <w:rFonts w:ascii="仿宋_GB2312" w:eastAsia="仿宋_GB2312" w:hint="eastAsia"/>
          <w:b/>
          <w:bCs/>
          <w:color w:val="000000"/>
          <w:kern w:val="0"/>
          <w:sz w:val="32"/>
          <w:szCs w:val="32"/>
        </w:rPr>
        <w:t>“三公”经费：</w:t>
      </w:r>
      <w:r>
        <w:rPr>
          <w:rFonts w:ascii="仿宋_GB2312" w:eastAsia="仿宋_GB2312" w:hint="eastAsia"/>
          <w:color w:val="000000"/>
          <w:kern w:val="0"/>
          <w:sz w:val="32"/>
          <w:szCs w:val="32"/>
        </w:rPr>
        <w:t>财政预决算管理的“三公”经费指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租用费、燃料费、维修费、过路过桥费、保险费、安全奖励费用等支出;公务接待费反映单位按规定开支的各类公务接待(含外宾接待)支出。</w:t>
      </w:r>
    </w:p>
    <w:p>
      <w:pPr>
        <w:widowControl/>
        <w:spacing w:after="0" w:line="560" w:lineRule="exact"/>
        <w:ind w:firstLineChars="200" w:firstLine="640"/>
        <w:rPr>
          <w:rFonts w:ascii="仿宋_GB2312" w:eastAsia="仿宋_GB2312"/>
          <w:color w:val="000000"/>
          <w:kern w:val="0"/>
          <w:sz w:val="32"/>
          <w:szCs w:val="32"/>
        </w:rPr>
      </w:pPr>
      <w:r>
        <w:rPr>
          <w:rFonts w:ascii="宋体" w:eastAsia="宋体" w:hint="eastAsia"/>
          <w:b/>
          <w:bCs/>
          <w:color w:val="000000"/>
          <w:kern w:val="0"/>
          <w:sz w:val="32"/>
          <w:szCs w:val="32"/>
        </w:rPr>
        <w:t>（十三）</w:t>
      </w:r>
      <w:r>
        <w:rPr>
          <w:rFonts w:ascii="仿宋_GB2312" w:eastAsia="仿宋_GB2312" w:hint="eastAsia"/>
          <w:b/>
          <w:bCs/>
          <w:color w:val="000000"/>
          <w:kern w:val="0"/>
          <w:sz w:val="32"/>
          <w:szCs w:val="32"/>
        </w:rPr>
        <w:t>其</w:t>
      </w:r>
      <w:r>
        <w:rPr>
          <w:rFonts w:ascii="仿宋_GB2312" w:eastAsia="仿宋_GB2312"/>
          <w:b/>
          <w:bCs/>
          <w:color w:val="000000"/>
          <w:kern w:val="0"/>
          <w:sz w:val="32"/>
          <w:szCs w:val="32"/>
        </w:rPr>
        <mc:AlternateContent>
          <mc:Choice Requires="wps">
            <w:drawing>
              <wp:anchor distT="0" distB="0" distL="91438" distR="91438" simplePos="0" relativeHeight="67" behindDoc="0" locked="1" layoutInCell="1" hidden="0" allowOverlap="1">
                <wp:simplePos x="0" y="0"/>
                <wp:positionH relativeFrom="column">
                  <wp:posOffset>-1029334</wp:posOffset>
                </wp:positionH>
                <wp:positionV relativeFrom="page">
                  <wp:posOffset>503556</wp:posOffset>
                </wp:positionV>
                <wp:extent cx="3363595" cy="558163"/>
                <wp:effectExtent l="0" t="0" r="0" b="0"/>
                <wp:wrapNone/>
                <wp:docPr id="173" name="组合"/>
                <wp:cNvGraphicFramePr>
                  <a:graphicFrameLocks noChangeAspect="0"/>
                </wp:cNvGraphicFramePr>
                <a:graphic>
                  <a:graphicData uri="http://schemas.microsoft.com/office/word/2010/wordprocessingGroup">
                    <wpg:wgp>
                      <wpg:cNvPr id="174" name="组合 174"/>
                      <wpg:cNvGrpSpPr/>
                      <wpg:grpSpPr>
                        <a:xfrm rot="0">
                          <a:off x="0" y="0"/>
                          <a:ext cx="3363595" cy="558163"/>
                          <a:chOff x="0" y="0"/>
                          <a:chExt cx="3363595" cy="558163"/>
                        </a:xfrm>
                        <a:prstGeom prst="rect"/>
                        <a:solidFill>
                          <a:srgbClr val="FFFFFF"/>
                        </a:solidFill>
                        <a:ln w="9525" cmpd="sng" cap="flat">
                          <a:solidFill>
                            <a:srgbClr val="000000"/>
                          </a:solidFill>
                          <a:prstDash val="solid"/>
                          <a:miter/>
                        </a:ln>
                      </wpg:grpSpPr>
                      <wps:wsp>
                        <wps:cNvPr id="175" name="_s179 175"/>
                        <wps:cNvSpPr/>
                        <wps:spPr>
                          <a:xfrm rot="0">
                            <a:off x="0" y="0"/>
                            <a:ext cx="3363595" cy="469162"/>
                          </a:xfrm>
                          <a:prstGeom prst="rect"/>
                          <a:solidFill>
                            <a:srgbClr val="D8D8D8"/>
                          </a:solidFill>
                          <a:ln w="9525" cmpd="sng" cap="flat">
                            <a:noFill/>
                            <a:prstDash val="solid"/>
                            <a:miter/>
                          </a:ln>
                        </wps:spPr>
                        <wps:bodyPr vert="horz" wrap="square" lIns="91440" tIns="45720" rIns="91440" bIns="45720" anchor="t" anchorCtr="0" upright="1">
                          <a:noAutofit/>
                        </wps:bodyPr>
                      </wps:wsp>
                      <wps:wsp>
                        <wps:cNvPr id="176" name="_s180 176"/>
                        <wps:cNvSpPr/>
                        <wps:spPr>
                          <a:xfrm rot="0">
                            <a:off x="10160" y="109344"/>
                            <a:ext cx="3275965" cy="448819"/>
                          </a:xfrm>
                          <a:prstGeom prst="rect"/>
                          <a:solidFill>
                            <a:srgbClr val="AD002D"/>
                          </a:solidFill>
                          <a:ln w="25400" cmpd="sng" cap="flat">
                            <a:solidFill>
                              <a:srgbClr val="AF7621"/>
                            </a:solidFill>
                            <a:prstDash val="solid"/>
                            <a:miter/>
                          </a:ln>
                        </wps:spPr>
                        <wps:txbx id="177">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2018年度部门决算☞名词解释</w:t>
                              </w:r>
                            </w:p>
                            <w:p>
                              <w:pPr>
                                <w:jc w:val="center"/>
                              </w:pPr>
                            </w:p>
                          </w:txbxContent>
                        </wps:txbx>
                        <wps:bodyPr vert="horz" wrap="square" lIns="91440" tIns="45720" rIns="91440" bIns="45720" anchor="ctr" anchorCtr="0" upright="0">
                          <a:noAutofit/>
                        </wps:bodyPr>
                      </wps:wsp>
                      <wps:bodyPr vert="horz" wrap="square" lIns="91440" tIns="45720" rIns="91440" bIns="45720" anchor="t" anchorCtr="0" upright="1">
                        <a:noAutofit/>
                      </wps:bodyPr>
                    </wpg:wgp>
                  </a:graphicData>
                </a:graphic>
              </wp:anchor>
            </w:drawing>
          </mc:Choice>
          <mc:Fallback>
            <w:pict>
              <v:group type="#_x0000_t1" id="组合 178" o:spid="_x0000_s178" coordorigin="-32,793" coordsize="5297,878" style="position:absolute;margin-left:-81.049995pt;margin-top:39.650078pt;width:264.85pt;height:43.94991pt;z-index:67;mso-position-horizontal:absolute;mso-position-vertical:absolute;mso-position-vertical-relative:page;mso-wrap-distance-left:7.19989pt;mso-wrap-distance-right:7.19989pt;">
                <v:rect type="#_x0000_t1" id="_s179" o:spid="_x0000_s179" style="position:absolute;left:-32;top:793;width:5297;height:738;" fillcolor="#D8D8D8" stroked="f">
                  <v:stroke color="#000000"/>
                </v:rect>
                <v:rect type="#_x0000_t1" id="_s180" o:spid="_x0000_s180" style="position:absolute;left:-16;top:965;width:5159;height:706;mso-wrap-style:square;" fillcolor="#AD002D" stroked="t" strokeweight="2.0pt">
                  <v:textbox id="881" inset="2.54mm,1.27mm,2.54mm,1.27mm" o:insetmode="custom" style="layout-flow:horizontal;v-text-anchor:middle;">
                    <w:txbxContent>
                      <w:p>
                        <w:pPr>
                          <w:widowControl/>
                          <w:jc w:val="left"/>
                          <w:rPr>
                            <w:rFonts w:ascii="楷体" w:eastAsia="楷体" w:cs="楷体"/>
                            <w:b/>
                            <w:bCs/>
                            <w:color w:val="FDEFBE"/>
                            <w:sz w:val="32"/>
                            <w:szCs w:val="32"/>
                          </w:rPr>
                        </w:pPr>
                        <w:r>
                          <w:rPr>
                            <w:rFonts w:ascii="楷体" w:eastAsia="楷体" w:cs="楷体" w:hint="eastAsia"/>
                            <w:b/>
                            <w:bCs/>
                            <w:color w:val="FDEFBE"/>
                            <w:kern w:val="0"/>
                            <w:sz w:val="32"/>
                            <w:szCs w:val="32"/>
                          </w:rPr>
                          <w:t>2018年度部门决算☞名词解释</w:t>
                        </w:r>
                      </w:p>
                      <w:p>
                        <w:pPr>
                          <w:jc w:val="center"/>
                        </w:pPr>
                      </w:p>
                    </w:txbxContent>
                  </v:textbox>
                  <v:stroke color="#AF7621"/>
                </v:rect>
                <w10:anchorLock/>
              </v:group>
            </w:pict>
          </mc:Fallback>
        </mc:AlternateContent>
      </w:r>
      <w:r>
        <w:rPr>
          <w:rFonts w:ascii="仿宋_GB2312" w:eastAsia="仿宋_GB2312" w:hint="eastAsia"/>
          <w:b/>
          <w:bCs/>
          <w:color w:val="000000"/>
          <w:kern w:val="0"/>
          <w:sz w:val="32"/>
          <w:szCs w:val="32"/>
        </w:rPr>
        <w:t>他交通费用：</w:t>
      </w:r>
      <w:r>
        <w:rPr>
          <w:rFonts w:ascii="仿宋_GB2312" w:eastAsia="仿宋_GB2312" w:hint="eastAsia"/>
          <w:color w:val="000000"/>
          <w:kern w:val="0"/>
          <w:sz w:val="32"/>
          <w:szCs w:val="32"/>
        </w:rPr>
        <w:t>指单位除公务用车运行维护费以外的其他交通费用。主要是行政机关及参公事业单位发</w:t>
      </w:r>
      <w:r>
        <w:rPr>
          <w:rFonts w:ascii="宋体" w:eastAsia="宋体" w:hint="eastAsia"/>
          <w:color w:val="000000"/>
          <w:kern w:val="0"/>
          <w:sz w:val="32"/>
          <w:szCs w:val="32"/>
        </w:rPr>
        <w:t>放</w:t>
      </w:r>
      <w:r>
        <w:rPr>
          <w:rFonts w:ascii="仿宋_GB2312" w:eastAsia="仿宋_GB2312" w:hint="eastAsia"/>
          <w:color w:val="000000"/>
          <w:kern w:val="0"/>
          <w:sz w:val="32"/>
          <w:szCs w:val="32"/>
        </w:rPr>
        <w:t>的公务交通补贴等。</w:t>
      </w:r>
    </w:p>
    <w:p>
      <w:pPr>
        <w:widowControl/>
        <w:spacing w:after="0" w:line="560" w:lineRule="exact"/>
        <w:ind w:firstLineChars="200" w:firstLine="640"/>
        <w:rPr>
          <w:rFonts w:ascii="宋体" w:eastAsia="宋体"/>
          <w:color w:val="000000"/>
          <w:kern w:val="0"/>
          <w:sz w:val="32"/>
          <w:szCs w:val="32"/>
        </w:rPr>
      </w:pPr>
      <w:r>
        <w:rPr>
          <w:rFonts w:ascii="宋体" w:eastAsia="宋体" w:hint="eastAsia"/>
          <w:b/>
          <w:bCs/>
          <w:color w:val="000000"/>
          <w:kern w:val="0"/>
          <w:sz w:val="32"/>
          <w:szCs w:val="32"/>
        </w:rPr>
        <w:t>（十四）</w:t>
      </w:r>
      <w:r>
        <w:rPr>
          <w:rFonts w:ascii="宋体" w:eastAsia="宋体" w:hint="eastAsia"/>
          <w:b/>
          <w:bCs/>
          <w:kern w:val="0"/>
          <w:sz w:val="32"/>
          <w:szCs w:val="32"/>
        </w:rPr>
        <w:t>公务用车购置：</w:t>
      </w:r>
      <w:r>
        <w:rPr>
          <w:rFonts w:ascii="宋体" w:eastAsia="宋体" w:hint="eastAsia"/>
          <w:color w:val="000000"/>
          <w:kern w:val="0"/>
          <w:sz w:val="32"/>
          <w:szCs w:val="32"/>
        </w:rPr>
        <w:t>指单位公务用车车辆购置支出（含车辆购置税）。</w:t>
      </w:r>
    </w:p>
    <w:p>
      <w:pPr>
        <w:widowControl/>
        <w:spacing w:after="0" w:line="560" w:lineRule="exact"/>
        <w:ind w:firstLineChars="200" w:firstLine="640"/>
        <w:rPr>
          <w:rFonts w:ascii="宋体" w:eastAsia="宋体"/>
          <w:color w:val="000000"/>
          <w:kern w:val="0"/>
          <w:sz w:val="32"/>
          <w:szCs w:val="32"/>
        </w:rPr>
      </w:pPr>
      <w:r>
        <w:rPr>
          <w:rFonts w:ascii="宋体" w:eastAsia="宋体" w:hint="eastAsia"/>
          <w:b/>
          <w:bCs/>
          <w:kern w:val="0"/>
          <w:sz w:val="32"/>
          <w:szCs w:val="32"/>
        </w:rPr>
        <w:t>（十五）其他交通工具购置：</w:t>
      </w:r>
      <w:r>
        <w:rPr>
          <w:rFonts w:ascii="宋体" w:eastAsia="宋体" w:hint="eastAsia"/>
          <w:color w:val="000000"/>
          <w:kern w:val="0"/>
          <w:sz w:val="32"/>
          <w:szCs w:val="32"/>
        </w:rPr>
        <w:t>指单位除公务用车外的其他各类交通工具（如船舶、飞机）购置支出（含车辆购置税）。</w:t>
      </w:r>
    </w:p>
    <w:p>
      <w:pPr>
        <w:widowControl/>
        <w:spacing w:after="0" w:line="560" w:lineRule="exact"/>
        <w:ind w:firstLineChars="200" w:firstLine="640"/>
        <w:rPr>
          <w:rFonts w:ascii="宋体" w:eastAsia="宋体"/>
          <w:color w:val="000000"/>
          <w:kern w:val="0"/>
          <w:sz w:val="32"/>
          <w:szCs w:val="32"/>
        </w:rPr>
      </w:pPr>
      <w:r>
        <w:rPr>
          <w:rFonts w:ascii="宋体" w:eastAsia="宋体" w:hint="eastAsia"/>
          <w:b/>
          <w:bCs/>
          <w:color w:val="000000"/>
          <w:kern w:val="0"/>
          <w:sz w:val="32"/>
          <w:szCs w:val="32"/>
        </w:rPr>
        <w:t>（十六）机关运行经费：</w:t>
      </w:r>
      <w:r>
        <w:rPr>
          <w:rFonts w:ascii="宋体" w:eastAsia="宋体" w:hint="eastAsia"/>
          <w:color w:val="000000"/>
          <w:kern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pPr>
        <w:widowControl/>
        <w:spacing w:after="0" w:line="560" w:lineRule="exact"/>
        <w:ind w:firstLineChars="200" w:firstLine="640"/>
        <w:rPr>
          <w:rFonts w:ascii="宋体" w:eastAsia="宋体" w:cs="ArialUnicodeMS"/>
          <w:kern w:val="0"/>
          <w:sz w:val="32"/>
          <w:szCs w:val="32"/>
        </w:rPr>
        <w:sectPr>
          <w:pgSz w:w="11906" w:h="16838"/>
          <w:pgMar w:top="2098" w:right="1474" w:bottom="1985" w:left="1588" w:header="851" w:footer="992" w:gutter="0"/>
          <w:docGrid w:type="lines" w:linePitch="312" w:charSpace="0"/>
        </w:sectPr>
      </w:pPr>
      <w:r>
        <w:rPr>
          <w:rFonts w:ascii="宋体" w:eastAsia="宋体" w:hint="eastAsia"/>
          <w:b/>
          <w:bCs/>
          <w:kern w:val="0"/>
          <w:sz w:val="32"/>
          <w:szCs w:val="32"/>
        </w:rPr>
        <w:t>（十七）经费形式：</w:t>
      </w:r>
      <w:r>
        <w:rPr>
          <w:rFonts w:ascii="宋体" w:eastAsia="宋体" w:cs="ArialUnicodeMS" w:hint="eastAsia"/>
          <w:kern w:val="0"/>
          <w:sz w:val="32"/>
          <w:szCs w:val="32"/>
        </w:rPr>
        <w:t>财政性资金基本保证。</w:t>
      </w:r>
    </w:p>
    <w:p>
      <w:pPr>
        <w:widowControl/>
        <w:spacing w:after="0" w:line="560" w:lineRule="exact"/>
        <w:ind w:firstLineChars="200" w:firstLine="640"/>
        <w:rPr>
          <w:rFonts w:ascii="仿宋_GB2312" w:eastAsia="仿宋_GB2312" w:cs="ArialUnicodeMS"/>
          <w:kern w:val="0"/>
          <w:sz w:val="32"/>
          <w:szCs w:val="32"/>
        </w:rPr>
      </w:pPr>
      <w:r>
        <w:rPr>
          <w:rFonts w:ascii="仿宋_GB2312" w:eastAsia="仿宋_GB2312" w:cs="ArialUnicodeMS"/>
          <w:kern w:val="0"/>
          <w:sz w:val="32"/>
          <w:szCs w:val="32"/>
        </w:rPr>
        <w:drawing>
          <wp:anchor distT="0" distB="0" distL="0" distR="0" simplePos="0" relativeHeight="12" behindDoc="1" locked="0" layoutInCell="1" hidden="0" allowOverlap="1">
            <wp:simplePos x="0" y="0"/>
            <wp:positionH relativeFrom="column">
              <wp:posOffset>-990600</wp:posOffset>
            </wp:positionH>
            <wp:positionV relativeFrom="paragraph">
              <wp:posOffset>-1355090</wp:posOffset>
            </wp:positionV>
            <wp:extent cx="7590153" cy="10735944"/>
            <wp:effectExtent l="0" t="0" r="0" b="0"/>
            <wp:wrapNone/>
            <wp:docPr id="181" name="图片 101"/>
            <wp:cNvGraphicFramePr>
              <a:graphicFrameLocks noChangeAspect="0"/>
            </wp:cNvGraphicFramePr>
            <a:graphic>
              <a:graphicData uri="http://schemas.openxmlformats.org/drawingml/2006/picture">
                <pic:pic>
                  <pic:nvPicPr>
                    <pic:cNvPr id="183" name="图片 101 183"/>
                    <pic:cNvPicPr/>
                  </pic:nvPicPr>
                  <pic:blipFill>
                    <a:blip r:embed="rId12"/>
                    <a:stretch>
                      <a:fillRect/>
                    </a:stretch>
                  </pic:blipFill>
                  <pic:spPr>
                    <a:xfrm rot="0">
                      <a:off x="0" y="0"/>
                      <a:ext cx="7590153" cy="10735944"/>
                    </a:xfrm>
                    <a:prstGeom prst="rect"/>
                    <a:noFill/>
                    <a:ln w="9525" cmpd="sng" cap="flat">
                      <a:noFill/>
                      <a:prstDash val="solid"/>
                      <a:miter/>
                    </a:ln>
                  </pic:spPr>
                </pic:pic>
              </a:graphicData>
            </a:graphic>
          </wp:anchor>
        </w:drawing>
      </w:r>
    </w:p>
    <w:p>
      <w:pPr>
        <w:widowControl/>
        <w:spacing w:after="0" w:line="560" w:lineRule="exact"/>
        <w:ind w:firstLineChars="200" w:firstLine="640"/>
        <w:rPr>
          <w:rFonts w:ascii="仿宋_GB2312" w:eastAsia="仿宋_GB2312" w:cs="ArialUnicodeMS"/>
          <w:kern w:val="0"/>
          <w:sz w:val="32"/>
          <w:szCs w:val="32"/>
        </w:rPr>
      </w:pPr>
    </w:p>
    <w:p>
      <w:pPr>
        <w:widowControl/>
        <w:spacing w:after="0" w:line="560" w:lineRule="exact"/>
        <w:ind w:firstLineChars="200" w:firstLine="640"/>
        <w:rPr>
          <w:rFonts w:ascii="仿宋_GB2312" w:eastAsia="仿宋_GB2312" w:cs="ArialUnicodeMS"/>
          <w:kern w:val="0"/>
          <w:sz w:val="32"/>
          <w:szCs w:val="32"/>
        </w:rPr>
      </w:pPr>
    </w:p>
    <w:p>
      <w:pPr>
        <w:widowControl/>
        <w:spacing w:after="0" w:line="560" w:lineRule="exact"/>
        <w:ind w:firstLineChars="200" w:firstLine="640"/>
        <w:rPr>
          <w:rFonts w:ascii="仿宋_GB2312" w:eastAsia="仿宋_GB2312" w:cs="ArialUnicodeMS"/>
          <w:kern w:val="0"/>
          <w:sz w:val="32"/>
          <w:szCs w:val="32"/>
        </w:rPr>
      </w:pPr>
    </w:p>
    <w:p>
      <w:pPr>
        <w:widowControl/>
        <w:spacing w:after="0" w:line="560" w:lineRule="exact"/>
        <w:ind w:firstLineChars="200" w:firstLine="640"/>
        <w:rPr>
          <w:rFonts w:ascii="仿宋_GB2312" w:eastAsia="仿宋_GB2312" w:cs="ArialUnicodeMS"/>
          <w:kern w:val="0"/>
          <w:sz w:val="32"/>
          <w:szCs w:val="32"/>
        </w:rPr>
      </w:pPr>
    </w:p>
    <w:p>
      <w:pPr>
        <w:widowControl/>
        <w:spacing w:after="0" w:line="240" w:lineRule="auto"/>
        <w:ind w:firstLineChars="200" w:firstLine="640"/>
        <w:rPr>
          <w:rFonts w:ascii="仿宋_GB2312" w:eastAsia="仿宋_GB2312" w:cs="ArialUnicodeMS"/>
          <w:kern w:val="0"/>
          <w:sz w:val="32"/>
          <w:szCs w:val="32"/>
        </w:rPr>
      </w:pPr>
    </w:p>
    <w:sectPr>
      <w:pgSz w:w="11906" w:h="16838"/>
      <w:pgMar w:top="2098" w:right="1474" w:bottom="1985" w:left="1588"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楷体">
    <w:panose1 w:val="02010609060101010101"/>
    <w:charset w:val="86"/>
    <w:family w:val="modern"/>
    <w:pitch w:val="variable"/>
    <w:sig w:usb0="800002BF" w:usb1="38CF7CFA" w:usb2="00000016" w:usb3="00000000" w:csb0="00040001" w:csb1="00000000"/>
  </w:font>
  <w:font w:name="宋体">
    <w:panose1 w:val="02010600030101010101"/>
    <w:charset w:val="86"/>
    <w:family w:val="auto"/>
    <w:pitch w:val="variable"/>
    <w:sig w:usb0="00000003" w:usb1="288F0000" w:usb2="00000006" w:usb3="00000000" w:csb0="00040001" w:csb1="00000000"/>
  </w:font>
  <w:font w:name="ArialUnicodeMS">
    <w:altName w:val="Malgun Gothic"/>
    <w:panose1 w:val="00000000000000000000"/>
    <w:charset w:val="81"/>
    <w:family w:val="auto"/>
    <w:pitch w:val="variable"/>
    <w:sig w:usb0="00000000" w:usb1="00000000" w:usb2="00000010" w:usb3="00000000" w:csb0="00080001" w:csb1="00000000"/>
  </w:font>
  <w:font w:name="仿宋_GB2312">
    <w:altName w:val="仿宋"/>
    <w:panose1 w:val="00000000000000000000"/>
    <w:charset w:val="86"/>
    <w:family w:val="modern"/>
    <w:pitch w:val="variable"/>
    <w:sig w:usb0="00000000" w:usb1="00000000" w:usb2="00000000" w:usb3="00000000" w:csb0="00040000" w:csb1="00000000"/>
  </w:font>
  <w:font w:name="方正书宋_GBK">
    <w:altName w:val="微软雅黑"/>
    <w:panose1 w:val="00000000000000000000"/>
    <w:charset w:val="86"/>
    <w:family w:val="script"/>
    <w:pitch w:val="variable"/>
    <w:sig w:usb0="00000000" w:usb1="00000000" w:usb2="00000010" w:usb3="00000000" w:csb0="00040000" w:csb1="00000000"/>
  </w:font>
  <w:font w:name="MS-UIGothic,Bold">
    <w:altName w:val="Malgun Gothic"/>
    <w:panose1 w:val="00000000000000000000"/>
    <w:charset w:val="81"/>
    <w:family w:val="auto"/>
    <w:pitch w:val="variable"/>
    <w:sig w:usb0="00000000" w:usb1="00000000" w:usb2="00000010" w:usb3="00000000" w:csb0="00080000" w:csb1="00000000"/>
  </w:font>
  <w:font w:name="Arial">
    <w:panose1 w:val="020B0604020202020204"/>
    <w:charset w:val="01"/>
    <w:family w:val="swiss"/>
    <w:pitch w:val="variable"/>
    <w:sig w:usb0="E0002AFF" w:usb1="C0007843" w:usb2="00000009" w:usb3="00000000" w:csb0="400001FF" w:csb1="FFFF0000"/>
  </w:font>
  <w:font w:name="DengXian-Regular">
    <w:altName w:val="宋体"/>
    <w:panose1 w:val="00000000000000000000"/>
    <w:charset w:val="86"/>
    <w:family w:val="auto"/>
    <w:pitch w:val="variable"/>
    <w:sig w:usb0="00000000" w:usb1="00000000" w:usb2="00000010" w:usb3="00000000" w:csb0="00040001" w:csb1="00000000"/>
  </w:font>
  <w:font w:name="楷体_GB2312">
    <w:altName w:val="楷体"/>
    <w:panose1 w:val="00000000000000000000"/>
    <w:charset w:val="86"/>
    <w:family w:val="modern"/>
    <w:pitch w:val="variable"/>
    <w:sig w:usb0="00000000" w:usb1="00000000" w:usb2="00000010" w:usb3="00000000" w:csb0="00040000" w:csb1="00000000"/>
  </w:font>
  <w:font w:name="DengXian-Bold">
    <w:altName w:val="宋体"/>
    <w:panose1 w:val="00000000000000000000"/>
    <w:charset w:val="86"/>
    <w:family w:val="auto"/>
    <w:pitch w:val="variable"/>
    <w:sig w:usb0="00000000" w:usb1="00000000" w:usb2="00000010" w:usb3="00000000" w:csb0="00040001" w:csb1="00000000"/>
  </w:font>
  <w:font w:name="Times New Roman">
    <w:panose1 w:val="02020603050405020304"/>
    <w:charset w:val="00"/>
    <w:family w:val="roman"/>
    <w:pitch w:val="variable"/>
    <w:sig w:usb0="20007A87" w:usb1="80000000" w:usb2="00000008" w:usb3="00000000" w:csb0="000001FF" w:csb1="00000000"/>
  </w:font>
  <w:font w:name="TimesNewRomanPSMT">
    <w:altName w:val="Arial"/>
    <w:panose1 w:val="00000000000000000000"/>
    <w:charset w:val="00"/>
    <w:family w:val="swiss"/>
    <w:pitch w:val="variable"/>
    <w:sig w:usb0="00000000" w:usb1="00000000" w:usb2="00000000" w:usb3="00000000" w:csb0="00000001" w:csb1="00000000"/>
  </w:font>
  <w:font w:name="Calibri">
    <w:panose1 w:val="020F0502020204030204"/>
    <w:charset w:val="00"/>
    <w:family w:val="swiss"/>
    <w:pitch w:val="variable"/>
    <w:sig w:usb0="E00002FF" w:usb1="4000ACFF" w:usb2="00000001" w:usb3="00000000" w:csb0="2000019F" w:csb1="00000000"/>
  </w:font>
  <w:font w:name="Cambria">
    <w:panose1 w:val="02040503050406030204"/>
    <w:charset w:val="00"/>
    <w:family w:val="roman"/>
    <w:pitch w:val="variable"/>
    <w:sig w:usb0="E00002FF" w:usb1="400004FF" w:usb2="00000000" w:usb3="00000000" w:csb0="2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05"/>
  <w:drawingGridVerticalSpacing w:val="156"/>
  <w:displayHorizontalDrawingGridEvery w:val="0"/>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after="160" w:line="480" w:lineRule="auto"/>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Calibri" w:cs="宋体" w:hAnsi="Calibri"/>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paragraph" w:styleId="4">
    <w:name w:val="heading 4"/>
    <w:basedOn w:val="0"/>
    <w:next w:val="0"/>
    <w:pPr>
      <w:keepNext/>
      <w:keepLines/>
      <w:widowControl w:val="0"/>
      <w:spacing w:before="280" w:after="290" w:line="377" w:lineRule="auto"/>
      <w:outlineLvl w:val="3"/>
    </w:pPr>
    <w:rPr>
      <w:rFonts w:ascii="Calibri" w:cs="宋体" w:hAnsi="Calibri"/>
      <w:b/>
      <w:bCs/>
      <w:sz w:val="28"/>
      <w:szCs w:val="28"/>
    </w:rPr>
  </w:style>
  <w:style w:type="character" w:default="1" w:styleId="10">
    <w:name w:val="Default Paragraph Font"/>
  </w:style>
  <w:style w:type="paragraph" w:styleId="15">
    <w:name w:val="Date"/>
    <w:basedOn w:val="0"/>
    <w:next w:val="0"/>
    <w:pPr>
      <w:ind w:leftChars="2500" w:left="2500"/>
    </w:pPr>
  </w:style>
  <w:style w:type="paragraph" w:styleId="16">
    <w:name w:val="Balloon Text"/>
    <w:basedOn w:val="0"/>
    <w:rPr>
      <w:sz w:val="18"/>
      <w:szCs w:val="18"/>
    </w:rPr>
  </w:style>
  <w:style w:type="paragraph" w:styleId="17">
    <w:name w:val="footer"/>
    <w:basedOn w:val="0"/>
    <w:pPr>
      <w:tabs>
        <w:tab w:val="center" w:pos="4153"/>
        <w:tab w:val="right" w:pos="8306"/>
      </w:tabs>
      <w:snapToGrid w:val="0"/>
      <w:jc w:val="left"/>
    </w:pPr>
    <w:rPr>
      <w:rFonts w:ascii="Cambria" w:eastAsia="黑体" w:cs="宋体" w:hAnsi="Cambria"/>
      <w:sz w:val="18"/>
      <w:szCs w:val="18"/>
    </w:rPr>
  </w:style>
  <w:style w:type="paragraph" w:styleId="18">
    <w:name w:val="header"/>
    <w:basedOn w:val="0"/>
    <w:pPr>
      <w:pBdr>
        <w:bottom w:val="single" w:sz="6" w:space="1" w:color="auto"/>
      </w:pBdr>
      <w:tabs>
        <w:tab w:val="center" w:pos="4153"/>
        <w:tab w:val="right" w:pos="8306"/>
      </w:tabs>
      <w:snapToGrid w:val="0"/>
      <w:jc w:val="center"/>
    </w:pPr>
    <w:rPr>
      <w:rFonts w:ascii="Cambria" w:eastAsia="黑体" w:cs="宋体" w:hAnsi="Cambria"/>
      <w:sz w:val="18"/>
      <w:szCs w:val="18"/>
    </w:rPr>
  </w:style>
  <w:style w:type="paragraph" w:styleId="19">
    <w:name w:val="Subtitle"/>
    <w:basedOn w:val="0"/>
    <w:next w:val="0"/>
    <w:pPr>
      <w:widowControl/>
      <w:spacing w:after="200" w:line="276" w:lineRule="auto"/>
      <w:jc w:val="left"/>
    </w:pPr>
    <w:rPr>
      <w:rFonts w:ascii="Calibri" w:cs="宋体" w:hAnsi="Calibri"/>
      <w:i/>
      <w:iCs/>
      <w:color w:val="F0A22E"/>
      <w:spacing w:val="15"/>
      <w:kern w:val="0"/>
      <w:sz w:val="24"/>
    </w:rPr>
  </w:style>
  <w:style w:type="paragraph" w:styleId="20">
    <w:name w:val="Title"/>
    <w:basedOn w:val="0"/>
    <w:next w:val="0"/>
    <w:pPr>
      <w:widowControl/>
      <w:pBdr>
        <w:bottom w:val="single" w:sz="8" w:space="4" w:color="F0A22E"/>
      </w:pBdr>
      <w:spacing w:after="300"/>
      <w:contextualSpacing/>
      <w:jc w:val="left"/>
    </w:pPr>
    <w:rPr>
      <w:rFonts w:ascii="Calibri" w:cs="宋体" w:hAnsi="Calibri"/>
      <w:color w:val="3B2C24"/>
      <w:spacing w:val="5"/>
      <w:kern w:val="28"/>
      <w:sz w:val="52"/>
      <w:szCs w:val="52"/>
    </w:rPr>
  </w:style>
  <w:style w:type="paragraph" w:styleId="21">
    <w:name w:val="No Spacing"/>
    <w:pPr>
      <w:spacing w:after="160" w:line="480" w:lineRule="auto"/>
    </w:pPr>
    <w:rPr>
      <w:rFonts w:ascii="Cambria" w:eastAsia="黑体" w:cs="宋体" w:hAnsi="Cambria"/>
      <w:sz w:val="22"/>
      <w:szCs w:val="22"/>
      <w:lang w:val="en-US" w:eastAsia="zh-CN" w:bidi="ar-SA"/>
    </w:rPr>
  </w:style>
  <w:style w:type="character" w:customStyle="1" w:styleId="22">
    <w:name w:val="Style1"/>
    <w:basedOn w:val="10"/>
    <w:rPr>
      <w:rFonts w:ascii="Cambria" w:eastAsia="黑体" w:cs="宋体" w:hAnsi="Cambria"/>
      <w:sz w:val="22"/>
      <w:szCs w:val="22"/>
      <w:lang w:eastAsia="zh-CN"/>
    </w:rPr>
  </w:style>
  <w:style w:type="character" w:customStyle="1" w:styleId="23">
    <w:name w:val="Style2"/>
    <w:basedOn w:val="10"/>
    <w:rPr>
      <w:rFonts w:ascii="Cambria" w:eastAsia="黑体" w:cs="宋体" w:hAnsi="Cambria"/>
      <w:sz w:val="22"/>
      <w:szCs w:val="22"/>
      <w:lang w:eastAsia="zh-CN"/>
    </w:rPr>
  </w:style>
  <w:style w:type="character" w:customStyle="1" w:styleId="24">
    <w:name w:val="Style3"/>
    <w:basedOn w:val="10"/>
    <w:rPr>
      <w:rFonts w:ascii="Cambria" w:eastAsia="黑体" w:cs="宋体" w:hAnsi="Cambria"/>
      <w:szCs w:val="22"/>
      <w:lang w:eastAsia="zh-CN"/>
    </w:rPr>
  </w:style>
  <w:style w:type="character" w:customStyle="1" w:styleId="25">
    <w:name w:val="Style4"/>
    <w:basedOn w:val="10"/>
    <w:rPr>
      <w:rFonts w:ascii="Cambria" w:eastAsia="黑体" w:cs="宋体" w:hAnsi="Cambria"/>
      <w:szCs w:val="22"/>
      <w:lang w:eastAsia="zh-CN"/>
    </w:rPr>
  </w:style>
  <w:style w:type="character" w:customStyle="1" w:styleId="26">
    <w:name w:val="Style5"/>
    <w:basedOn w:val="10"/>
    <w:rPr>
      <w:rFonts w:ascii="Cambria" w:eastAsia="黑体" w:cs="宋体" w:hAnsi="Cambria"/>
      <w:sz w:val="22"/>
      <w:szCs w:val="22"/>
      <w:lang w:eastAsia="zh-CN"/>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jpeg"/><Relationship Id="rId3" Type="http://schemas.openxmlformats.org/officeDocument/2006/relationships/image" Target="media/24.jpeg"/><Relationship Id="rId4" Type="http://schemas.openxmlformats.org/officeDocument/2006/relationships/image" Target="media/24.jpeg"/><Relationship Id="rId5" Type="http://schemas.openxmlformats.org/officeDocument/2006/relationships/image" Target="media/24.jpeg"/><Relationship Id="rId6" Type="http://schemas.openxmlformats.org/officeDocument/2006/relationships/image" Target="media/128.png"/><Relationship Id="rId7" Type="http://schemas.openxmlformats.org/officeDocument/2006/relationships/chart" Target="charts/chart1.xml"/><Relationship Id="rId8" Type="http://schemas.openxmlformats.org/officeDocument/2006/relationships/image" Target="media/132.png"/><Relationship Id="rId9" Type="http://schemas.openxmlformats.org/officeDocument/2006/relationships/chart" Target="charts/chart2.xml"/><Relationship Id="rId10" Type="http://schemas.openxmlformats.org/officeDocument/2006/relationships/chart" Target="charts/chart3.xml"/><Relationship Id="rId11" Type="http://schemas.openxmlformats.org/officeDocument/2006/relationships/image" Target="media/24.jpeg"/><Relationship Id="rId12" Type="http://schemas.openxmlformats.org/officeDocument/2006/relationships/image" Target="media/182.jpeg"/><Relationship Id="rId13" Type="http://schemas.openxmlformats.org/officeDocument/2006/relationships/styles" Target="style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hPercent val="100"/>
      <c:rotY val="0"/>
      <c:depthPercent val="100"/>
      <c:rAngAx val="0"/>
      <c:perspective val="0"/>
    </c:view3D>
    <c:floor>
      <c:thickness val="0"/>
      <c:spPr>
        <a:ln w="6350">
          <a:solidFill>
            <a:srgbClr val="898989"/>
          </a:solidFill>
          <a:prstDash val="solid"/>
        </a:ln>
      </c:spPr>
    </c:floor>
    <c:sideWall>
      <c:thickness val="0"/>
      <c:spPr>
        <a:ln>
          <a:noFill/>
        </a:ln>
      </c:spPr>
    </c:sideWall>
    <c:backWall>
      <c:thickness val="0"/>
      <c:spPr>
        <a:noFill/>
        <a:ln>
          <a:noFill/>
        </a:ln>
      </c:spPr>
    </c:backWall>
    <c:plotArea>
      <c:layout/>
      <c:pie3DChart>
        <c:varyColors val="1"/>
        <c:ser>
          <c:idx val="0"/>
          <c:order val="0"/>
          <c:tx>
            <c:strRef>
              <c:f>'Sheet1'!$B$1</c:f>
              <c:strCache>
                <c:ptCount val="1"/>
                <c:pt idx="0">
                  <c:v>列1</c:v>
                </c:pt>
              </c:strCache>
            </c:strRef>
          </c:tx>
          <c:dPt>
            <c:idx val="0"/>
            <c:bubble3D val="0"/>
            <c:spPr>
              <a:solidFill>
                <a:srgbClr val="4F81BD"/>
              </a:solidFill>
            </c:spPr>
          </c:dPt>
          <c:dPt>
            <c:idx val="1"/>
            <c:bubble3D val="0"/>
            <c:spPr>
              <a:solidFill>
                <a:srgbClr val="C0504D"/>
              </a:solidFill>
            </c:spPr>
          </c:dPt>
          <c:dLbls>
            <c:dLbl>
              <c:idx val="0"/>
              <c:layout>
                <c:manualLayout>
                  <c:x val="-0.15434322"/>
                  <c:y val="-0.32522172"/>
                </c:manualLayout>
              </c:layout>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tx>
                <c:rich>
                  <a:bodyPr vert="horz"/>
                  <a:lstStyle/>
                  <a:p>
                    <a:pPr>
                      <a:defRPr sz="1000" b="0" i="0" u="none" strike="noStrike" baseline="0">
                        <a:solidFill>
                          <a:srgbClr val="000000"/>
                        </a:solidFill>
                        <a:latin typeface="Times New Roman"/>
                        <a:ea typeface="宋体"/>
                        <a:cs typeface="Arial"/>
                      </a:defRPr>
                    </a:pPr>
                    <a:r>
                      <a:rPr lang="zh-CN" sz="1400" b="0" i="0" u="none" strike="noStrike" baseline="0">
                        <a:solidFill>
                          <a:srgbClr val="000000"/>
                        </a:solidFill>
                        <a:latin typeface="Times New Roman"/>
                        <a:ea typeface="宋体"/>
                        <a:cs typeface="Arial"/>
                      </a:rPr>
                      <a:t>基本支出</a:t>
                    </a:r>
                    <a:r>
                      <a:rPr lang="zh-CN" sz="1400" b="0" i="0" u="none" strike="noStrike" baseline="0">
                        <a:solidFill>
                          <a:srgbClr val="000000"/>
                        </a:solidFill>
                        <a:latin typeface="Times New Roman"/>
                        <a:ea typeface="宋体"/>
                        <a:cs typeface="Arial"/>
                      </a:rPr>
                      <a:t>88</a:t>
                    </a:r>
                    <a:r>
                      <a:rPr lang="zh-CN" sz="1400" b="0" i="0" u="none" strike="noStrike" baseline="0">
                        <a:solidFill>
                          <a:srgbClr val="000000"/>
                        </a:solidFill>
                        <a:latin typeface="Times New Roman"/>
                        <a:ea typeface="宋体"/>
                        <a:cs typeface="Arial"/>
                      </a:rPr>
                      <a:t>%</a:t>
                    </a:r>
                    <a:r>
                      <a:rPr lang="zh-CN" sz="1000" b="0" i="0" u="none" strike="noStrike" baseline="0">
                        <a:solidFill>
                          <a:srgbClr val="000000"/>
                        </a:solidFill>
                        <a:latin typeface="Times New Roman"/>
                        <a:ea typeface="宋体"/>
                        <a:cs typeface="Arial"/>
                      </a:rPr>
                      <a:t>
</a:t>
                    </a:r>
                  </a:p>
                </c:rich>
              </c:tx>
              <c:showLegendKey val="0"/>
              <c:showVal val="1"/>
              <c:showCatName val="0"/>
              <c:showSerName val="0"/>
              <c:showPercent val="0"/>
              <c:showBubbleSize val="0"/>
            </c:dLbl>
            <c:dLbl>
              <c:idx val="1"/>
              <c:layout>
                <c:manualLayout>
                  <c:x val="0.11611233"/>
                  <c:y val="0.13955194"/>
                </c:manualLayout>
              </c:layout>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tx>
                <c:rich>
                  <a:bodyPr vert="horz"/>
                  <a:lstStyle/>
                  <a:p>
                    <a:pPr>
                      <a:defRPr sz="1000" b="0" i="0" u="none" strike="noStrike" baseline="0">
                        <a:solidFill>
                          <a:srgbClr val="000000"/>
                        </a:solidFill>
                        <a:latin typeface="Times New Roman"/>
                        <a:ea typeface="宋体"/>
                        <a:cs typeface="Arial"/>
                      </a:defRPr>
                    </a:pPr>
                    <a:r>
                      <a:rPr lang="zh-CN" sz="1000" b="0" i="0" u="none" strike="noStrike" baseline="0">
                        <a:solidFill>
                          <a:srgbClr val="000000"/>
                        </a:solidFill>
                        <a:latin typeface="Times New Roman"/>
                        <a:ea typeface="宋体"/>
                        <a:cs typeface="Arial"/>
                      </a:rPr>
                      <a:t>项目支出</a:t>
                    </a:r>
                    <a:r>
                      <a:rPr lang="zh-CN" sz="1000" b="0" i="0" u="none" strike="noStrike" baseline="0">
                        <a:solidFill>
                          <a:srgbClr val="000000"/>
                        </a:solidFill>
                        <a:latin typeface="Times New Roman"/>
                        <a:ea typeface="宋体"/>
                        <a:cs typeface="Arial"/>
                      </a:rPr>
                      <a:t>
</a:t>
                    </a:r>
                    <a:r>
                      <a:rPr lang="zh-CN" sz="1000" b="0" i="0" u="none" strike="noStrike" baseline="0">
                        <a:solidFill>
                          <a:srgbClr val="000000"/>
                        </a:solidFill>
                        <a:latin typeface="Times New Roman"/>
                        <a:ea typeface="宋体"/>
                        <a:cs typeface="Arial"/>
                      </a:rPr>
                      <a:t>12</a:t>
                    </a:r>
                    <a:r>
                      <a:rPr lang="zh-CN" sz="1000" b="0" i="0" u="none" strike="noStrike" baseline="0">
                        <a:solidFill>
                          <a:srgbClr val="000000"/>
                        </a:solidFill>
                        <a:latin typeface="Times New Roman"/>
                        <a:ea typeface="宋体"/>
                        <a:cs typeface="Arial"/>
                      </a:rPr>
                      <a:t>%</a:t>
                    </a:r>
                    <a:r>
                      <a:rPr lang="zh-CN" sz="1000" b="0" i="0" u="none" strike="noStrike" baseline="0">
                        <a:solidFill>
                          <a:srgbClr val="000000"/>
                        </a:solidFill>
                        <a:latin typeface="Times New Roman"/>
                        <a:ea typeface="宋体"/>
                        <a:cs typeface="Arial"/>
                      </a:rPr>
                      <a:t>
</a:t>
                    </a:r>
                  </a:p>
                </c:rich>
              </c:tx>
              <c:showLegendKey val="0"/>
              <c:showVal val="1"/>
              <c:showCatName val="0"/>
              <c:showSerName val="0"/>
              <c:showPercent val="0"/>
              <c:showBubbleSize val="0"/>
            </c:dLbl>
            <c:showLegendKey val="0"/>
            <c:showVal val="0"/>
            <c:showCatName val="0"/>
            <c:showSerName val="0"/>
            <c:showPercent val="0"/>
            <c:showBubbleSize val="0"/>
            <c:showLeaderLines val="1"/>
          </c:dLbls>
          <c:cat>
            <c:strRef>
              <c:f>'Sheet1'!$A$2:$A$3</c:f>
              <c:strCache>
                <c:ptCount val="2"/>
                <c:pt idx="0">
                  <c:v>第一季度</c:v>
                </c:pt>
                <c:pt idx="1">
                  <c:v>第二季度</c:v>
                </c:pt>
              </c:strCache>
            </c:strRef>
          </c:cat>
          <c:val>
            <c:numRef>
              <c:f>'Sheet1'!$B$2:$B$3</c:f>
              <c:numCache>
                <c:formatCode>General</c:formatCode>
                <c:ptCount val="2"/>
                <c:pt idx="0">
                  <c:v>3817961.82</c:v>
                </c:pt>
                <c:pt idx="1">
                  <c:v>520443.71</c:v>
                </c:pt>
              </c:numCache>
            </c:numRef>
          </c:val>
        </c:ser>
        <c:gapDepth val="150"/>
        <c:firstSliceAng val="0"/>
      </c:pie3DChart>
      <c:spPr>
        <a:noFill/>
        <a:ln>
          <a:noFill/>
        </a:ln>
      </c:spPr>
    </c:plotArea>
    <c:plotVisOnly val="1"/>
    <c:dispBlanksAs val="gap"/>
    <c:showDLblsOverMax val="0"/>
  </c:chart>
  <c:spPr>
    <a:ln>
      <a:noFill/>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71011595"/>
          <c:y val="0.025428332"/>
          <c:w val="0.8650995"/>
          <c:h val="0.87077206"/>
        </c:manualLayout>
      </c:layout>
      <c:barChart>
        <c:barDir val="col"/>
        <c:grouping val="clustered"/>
        <c:varyColors val="0"/>
        <c:ser>
          <c:idx val="0"/>
          <c:order val="0"/>
          <c:spPr>
            <a:solidFill>
              <a:srgbClr val="4F81BD"/>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0_ "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4"/>
              <c:pt idx="0">
                <c:v>收入预算数</c:v>
              </c:pt>
              <c:pt idx="1">
                <c:v>收入决算数</c:v>
              </c:pt>
              <c:pt idx="2">
                <c:v>支出预算数</c:v>
              </c:pt>
              <c:pt idx="3">
                <c:v>支出决算数</c:v>
              </c:pt>
            </c:strLit>
          </c:cat>
          <c:val>
            <c:numRef>
              <c:f/>
              <c:numCache>
                <c:formatCode>0_ </c:formatCode>
                <c:ptCount val="4"/>
                <c:pt idx="0">
                  <c:v>4224700.0</c:v>
                </c:pt>
                <c:pt idx="1">
                  <c:v>4338236.52</c:v>
                </c:pt>
                <c:pt idx="2">
                  <c:v>4224700.0</c:v>
                </c:pt>
                <c:pt idx="3">
                  <c:v>4338405.53</c:v>
                </c:pt>
              </c:numCache>
            </c:numRef>
          </c:val>
        </c:ser>
        <c:overlap val="-27"/>
        <c:gapWidth val="219"/>
        <c:axId val="0"/>
        <c:axId val="1"/>
      </c:barChart>
      <c:catAx>
        <c:axId val="0"/>
        <c:scaling>
          <c:orientation val="minMax"/>
        </c:scaling>
        <c:delete val="0"/>
        <c:axPos val="b"/>
        <c:numFmt formatCode="General" sourceLinked="0"/>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min val="3000000.0"/>
        </c:scaling>
        <c:delete val="0"/>
        <c:axPos val="l"/>
        <c:majorGridlines>
          <c:spPr>
            <a:ln w="6350">
              <a:solidFill>
                <a:srgbClr val="D9D9D9"/>
              </a:solidFill>
              <a:prstDash val="solid"/>
            </a:ln>
          </c:spPr>
        </c:majorGridlines>
        <c:numFmt formatCode="0_ "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hPercent val="100"/>
      <c:rotY val="0"/>
      <c:depthPercent val="100"/>
      <c:rAngAx val="0"/>
      <c:perspective val="0"/>
    </c:view3D>
    <c:floor>
      <c:thickness val="0"/>
      <c:spPr>
        <a:ln w="6350">
          <a:solidFill>
            <a:srgbClr val="898989"/>
          </a:solidFill>
          <a:prstDash val="solid"/>
        </a:ln>
      </c:spPr>
    </c:floor>
    <c:sideWall>
      <c:thickness val="0"/>
      <c:spPr>
        <a:ln>
          <a:noFill/>
        </a:ln>
      </c:spPr>
    </c:sideWall>
    <c:backWall>
      <c:thickness val="0"/>
      <c:spPr>
        <a:noFill/>
        <a:ln>
          <a:noFill/>
        </a:ln>
      </c:spPr>
    </c:backWall>
    <c:plotArea>
      <c:layout>
        <c:manualLayout>
          <c:layoutTarget val="inner"/>
          <c:xMode val="edge"/>
          <c:yMode val="edge"/>
          <c:x val="0.17567113"/>
          <c:y val="0.045987826"/>
          <c:w val="0.8220264"/>
          <c:h val="0.78418535"/>
        </c:manualLayout>
      </c:layout>
      <c:pie3DChart>
        <c:varyColors val="1"/>
        <c:ser>
          <c:idx val="0"/>
          <c:order val="0"/>
          <c:tx>
            <c:strRef>
              <c:f>'Sheet1 (2)'!$B$1</c:f>
              <c:strCache>
                <c:ptCount val="1"/>
                <c:pt idx="0">
                  <c:v>销售额</c:v>
                </c:pt>
              </c:strCache>
            </c:strRef>
          </c:tx>
          <c:spPr>
            <a:solidFill>
              <a:srgbClr val="4F81BD"/>
            </a:solidFill>
          </c:spPr>
          <c:dPt>
            <c:idx val="0"/>
            <c:bubble3D val="0"/>
            <c:spPr>
              <a:solidFill>
                <a:srgbClr val="4F81BD"/>
              </a:solidFill>
            </c:spPr>
          </c:dPt>
          <c:dPt>
            <c:idx val="1"/>
            <c:bubble3D val="0"/>
            <c:spPr>
              <a:solidFill>
                <a:srgbClr val="C0504D"/>
              </a:solidFill>
            </c:spPr>
          </c:dPt>
          <c:dLbls>
            <c:dLbl>
              <c:idx val="0"/>
              <c:layout>
                <c:manualLayout>
                  <c:x val="-0.0030710178"/>
                  <c:y val="-0.50670797"/>
                </c:manualLayout>
              </c:layout>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tx>
                <c:rich>
                  <a:bodyPr vert="horz"/>
                  <a:lstStyle/>
                  <a:p>
                    <a:pPr>
                      <a:defRPr sz="1000" b="0" i="0" u="none" strike="noStrike" baseline="0">
                        <a:solidFill>
                          <a:srgbClr val="000000"/>
                        </a:solidFill>
                        <a:latin typeface="Times New Roman"/>
                        <a:ea typeface="宋体"/>
                        <a:cs typeface="Arial"/>
                      </a:defRPr>
                    </a:pPr>
                    <a:r>
                      <a:rPr lang="zh-CN" sz="1000" b="0" i="0" u="none" strike="noStrike" baseline="0">
                        <a:solidFill>
                          <a:srgbClr val="000000"/>
                        </a:solidFill>
                        <a:latin typeface="Times New Roman"/>
                        <a:ea typeface="宋体"/>
                        <a:cs typeface="Arial"/>
                      </a:rPr>
                      <a:t>文化体育与传媒支出</a:t>
                    </a:r>
                    <a:r>
                      <a:rPr lang="zh-CN" sz="1000" b="0" i="0" u="none" strike="noStrike" baseline="0">
                        <a:solidFill>
                          <a:srgbClr val="000000"/>
                        </a:solidFill>
                        <a:latin typeface="Times New Roman"/>
                        <a:ea typeface="宋体"/>
                        <a:cs typeface="Arial"/>
                      </a:rPr>
                      <a:t>100%</a:t>
                    </a:r>
                  </a:p>
                </c:rich>
              </c:tx>
              <c:showLegendKey val="0"/>
              <c:showVal val="1"/>
              <c:showCatName val="0"/>
              <c:showSerName val="0"/>
              <c:showPercent val="0"/>
              <c:showBubbleSize val="0"/>
            </c:dLbl>
            <c:dLbl>
              <c:idx val="1"/>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showLegendKey val="0"/>
            <c:showVal val="0"/>
            <c:showCatName val="0"/>
            <c:showSerName val="0"/>
            <c:showPercent val="0"/>
            <c:showBubbleSize val="0"/>
            <c:showLeaderLines val="1"/>
          </c:dLbls>
          <c:cat>
            <c:strRef>
              <c:f>'Sheet1 (2)'!$A$2:$A$3</c:f>
              <c:strCache>
                <c:ptCount val="2"/>
                <c:pt idx="0">
                  <c:v>第一季度</c:v>
                </c:pt>
                <c:pt idx="1">
                  <c:v>第二季度</c:v>
                </c:pt>
              </c:strCache>
            </c:strRef>
          </c:cat>
          <c:val>
            <c:numRef>
              <c:f>'Sheet1 (2)'!$B$2:$B$3</c:f>
              <c:numCache>
                <c:formatCode>General</c:formatCode>
                <c:ptCount val="2"/>
                <c:pt idx="0">
                  <c:v>4338405.53</c:v>
                </c:pt>
                <c:pt idx="1">
                  <c:v>0.0</c:v>
                </c:pt>
              </c:numCache>
            </c:numRef>
          </c:val>
        </c:ser>
        <c:gapDepth val="150"/>
        <c:firstSliceAng val="0"/>
      </c:pie3DChart>
      <c:spPr>
        <a:noFill/>
        <a:ln>
          <a:noFill/>
        </a:ln>
      </c:spPr>
    </c:plotArea>
    <c:plotVisOnly val="1"/>
    <c:dispBlanksAs val="gap"/>
    <c:showDLblsOverMax val="0"/>
  </c:chart>
  <c:spPr>
    <a:ln>
      <a:noFill/>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101</TotalTime>
  <Application>Yozo_Office27021597764231179</Application>
  <Pages>32</Pages>
  <Words>7180</Words>
  <Characters>8378</Characters>
  <Lines>1709</Lines>
  <Paragraphs>823</Paragraphs>
  <CharactersWithSpaces>8613</CharactersWithSpaces>
  <Company>Microsoft</Company>
</Properties>
</file>

<file path=docProps/core.xml><?xml version="1.0" encoding="utf-8"?>
<cp:coreProperties xmlns:cp="http://schemas.openxmlformats.org/package/2006/metadata/core-properties" xmlns:dc="http://purl.org/dc/elements/1.1/" xmlns:dcterms="http://purl.org/dc/terms/" xmlns:xsi="http://www.w3.org/2001/XMLSchema-instance">
  <dc:title>2017年度部门决算</dc:title>
  <dc:subject>石家庄市xxx部门</dc:subject>
  <dc:creator>User</dc:creator>
  <cp:lastModifiedBy>fnysk</cp:lastModifiedBy>
  <cp:revision>8</cp:revision>
  <cp:lastPrinted>2019-08-01T08:25:00Z</cp:lastPrinted>
  <dcterms:created xsi:type="dcterms:W3CDTF">2019-08-02T03:40:00Z</dcterms:created>
  <dcterms:modified xsi:type="dcterms:W3CDTF">2021-05-16T12:35:35Z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2052-11.1.0.10495</vt:lpwstr>
  </property>
  <property fmtid="{D5CDD505-2E9C-101B-9397-08002B2CF9AE}" pid="3" name="ICV">
    <vt:lpwstr>8E05075C04A44418AD882708AE3BBC51</vt:lpwstr>
  </property>
</Properties>
</file>