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0.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ectPr>
          <w:headerReference w:type="default" r:id="rId2"/>
          <w:pgSz w:w="11906" w:h="16838"/>
          <w:pgMar w:top="0" w:right="0" w:bottom="0" w:left="0" w:header="851" w:footer="992" w:gutter="0"/>
          <w:titlePg/>
          <w:docGrid w:type="lines" w:linePitch="312" w:charSpace="0"/>
        </w:sectPr>
      </w:pPr>
      <w:r>
        <mc:AlternateContent>
          <mc:Choice Requires="wps">
            <w:drawing>
              <wp:anchor distT="0" distB="0" distL="114298" distR="114298" simplePos="0" relativeHeight="77" behindDoc="0" locked="0" layoutInCell="1" hidden="0" allowOverlap="1">
                <wp:simplePos x="0" y="0"/>
                <wp:positionH relativeFrom="column">
                  <wp:posOffset>1349375</wp:posOffset>
                </wp:positionH>
                <wp:positionV relativeFrom="paragraph">
                  <wp:posOffset>8808085</wp:posOffset>
                </wp:positionV>
                <wp:extent cx="5132705" cy="487680"/>
                <wp:effectExtent l="0" t="0" r="0" b="0"/>
                <wp:wrapNone/>
                <wp:docPr id="18" name="文本框 10"/>
                <wp:cNvGraphicFramePr>
                  <a:graphicFrameLocks noChangeAspect="0"/>
                </wp:cNvGraphicFramePr>
                <a:graphic>
                  <a:graphicData uri="http://schemas.microsoft.com/office/word/2010/wordprocessingShape">
                    <wps:wsp>
                      <wps:cNvSpPr/>
                      <wps:spPr>
                        <a:xfrm rot="0">
                          <a:off x="0" y="0"/>
                          <a:ext cx="5132705" cy="487680"/>
                        </a:xfrm>
                        <a:prstGeom prst="rect"/>
                        <a:noFill/>
                        <a:ln w="9525" cmpd="sng" cap="flat">
                          <a:noFill/>
                          <a:prstDash val="solid"/>
                          <a:miter/>
                        </a:ln>
                      </wps:spPr>
                      <wps:txbx id="19">
                        <w:txbxContent>
                          <w:p>
                            <w:pPr>
                              <w:jc w:val="cente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pPr>
                            <w: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二〇二〇年八月</w:t>
                            </w:r>
                          </w:p>
                        </w:txbxContent>
                      </wps:txbx>
                      <wps:bodyPr vert="horz" wrap="square" lIns="91440" tIns="45720" rIns="91440" bIns="45720" anchor="t" anchorCtr="0" upright="0">
                        <a:spAutoFit/>
                      </wps:bodyPr>
                    </wps:wsp>
                  </a:graphicData>
                </a:graphic>
              </wp:anchor>
            </w:drawing>
          </mc:Choice>
          <mc:Fallback>
            <w:pict>
              <v:shape type="#_x0000_t202" id="文本框 10 20" o:spid="_x0000_s20" filled="f" stroked="f" style="position:absolute;margin-left:106.25pt;margin-top:693.55pt;width:404.15pt;height:38.40002pt;z-index:77;mso-position-horizontal:absolute;mso-position-vertical:absolute;mso-wrap-distance-left:8.999863pt;mso-wrap-distance-right:8.999863pt;mso-wrap-style:square;">
                <v:stroke color="#000000"/>
                <v:textbox id="848" inset="2.54mm,1.27mm,2.54mm,1.27mm" o:insetmode="custom" style="layout-flow:horizontal;v-text-anchor:top;mso-fit-shape-to-text:t;">
                  <w:txbxContent>
                    <w:p>
                      <w:pPr>
                        <w:jc w:val="cente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pPr>
                      <w: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二〇二〇年八月</w:t>
                      </w:r>
                    </w:p>
                  </w:txbxContent>
                </v:textbox>
              </v:shape>
            </w:pict>
          </mc:Fallback>
        </mc:AlternateContent>
      </w:r>
      <w:r>
        <mc:AlternateContent>
          <mc:Choice Requires="wps">
            <w:drawing>
              <wp:anchor distT="0" distB="0" distL="114298" distR="114298" simplePos="0" relativeHeight="71" behindDoc="0" locked="0" layoutInCell="1" hidden="0" allowOverlap="1">
                <wp:simplePos x="0" y="0"/>
                <wp:positionH relativeFrom="column">
                  <wp:posOffset>679450</wp:posOffset>
                </wp:positionH>
                <wp:positionV relativeFrom="paragraph">
                  <wp:posOffset>2952115</wp:posOffset>
                </wp:positionV>
                <wp:extent cx="1548765" cy="1548765"/>
                <wp:effectExtent l="0" t="0" r="0" b="0"/>
                <wp:wrapNone/>
                <wp:docPr id="21" name="椭圆 8"/>
                <wp:cNvGraphicFramePr>
                  <a:graphicFrameLocks noChangeAspect="0"/>
                </wp:cNvGraphicFramePr>
                <a:graphic>
                  <a:graphicData uri="http://schemas.microsoft.com/office/word/2010/wordprocessingShape">
                    <wps:wsp>
                      <wps:cNvSpPr/>
                      <wps:spPr>
                        <a:xfrm rot="0">
                          <a:off x="0" y="0"/>
                          <a:ext cx="1548765" cy="1548765"/>
                        </a:xfrm>
                        <a:prstGeom prst="ellipse"/>
                        <a:solidFill>
                          <a:srgbClr val="FFFFFF"/>
                        </a:solidFill>
                        <a:ln w="9525" cmpd="sng" cap="flat">
                          <a:noFill/>
                          <a:prstDash val="solid"/>
                          <a:round/>
                        </a:ln>
                      </wps:spPr>
                      <wps:bodyPr vert="horz" wrap="square" lIns="91440" tIns="45720" rIns="91440" bIns="45720" anchor="ctr" anchorCtr="0" upright="1">
                        <a:noAutofit/>
                      </wps:bodyPr>
                    </wps:wsp>
                  </a:graphicData>
                </a:graphic>
              </wp:anchor>
            </w:drawing>
          </mc:Choice>
          <mc:Fallback>
            <w:pict>
              <v:oval type="#_x0000_t3" id="椭圆 8 22" o:spid="_x0000_s22" fillcolor="#FFFFFF" stroked="f" style="position:absolute;margin-left:53.5pt;margin-top:232.45pt;width:121.950005pt;height:121.950005pt;z-index:71;mso-position-horizontal:absolute;mso-position-vertical:absolute;mso-wrap-distance-left:8.999863pt;mso-wrap-distance-right:8.999863pt;">
                <v:stroke color="#000000"/>
              </v:oval>
            </w:pict>
          </mc:Fallback>
        </mc:AlternateContent>
      </w:r>
      <w:r>
        <w:rPr>
          <w:sz w:val="21"/>
        </w:rPr>
        <mc:AlternateContent>
          <mc:Choice Requires="wps">
            <w:drawing>
              <wp:anchor distT="0" distB="0" distL="114298" distR="114298" simplePos="0" relativeHeight="81" behindDoc="0" locked="0" layoutInCell="1" hidden="0" allowOverlap="1">
                <wp:simplePos x="0" y="0"/>
                <wp:positionH relativeFrom="column">
                  <wp:posOffset>426720</wp:posOffset>
                </wp:positionH>
                <wp:positionV relativeFrom="paragraph">
                  <wp:posOffset>3260725</wp:posOffset>
                </wp:positionV>
                <wp:extent cx="2040254" cy="883920"/>
                <wp:effectExtent l="0" t="0" r="0" b="0"/>
                <wp:wrapNone/>
                <wp:docPr id="23" name="矩形 14"/>
                <wp:cNvGraphicFramePr>
                  <a:graphicFrameLocks noChangeAspect="0"/>
                </wp:cNvGraphicFramePr>
                <a:graphic>
                  <a:graphicData uri="http://schemas.microsoft.com/office/word/2010/wordprocessingShape">
                    <wps:wsp>
                      <wps:cNvSpPr/>
                      <wps:spPr>
                        <a:xfrm rot="0">
                          <a:off x="0" y="0"/>
                          <a:ext cx="2040254" cy="883920"/>
                        </a:xfrm>
                        <a:prstGeom prst="rect"/>
                        <a:noFill/>
                        <a:ln w="9525" cmpd="sng" cap="flat">
                          <a:noFill/>
                          <a:prstDash val="solid"/>
                          <a:miter/>
                        </a:ln>
                      </wps:spPr>
                      <wps:txbx id="24">
                        <w:txbxContent>
                          <w:p>
                            <w:pPr>
                              <w:spacing w:line="360" w:lineRule="auto"/>
                              <w:jc w:val="center"/>
                              <w:rPr>
                                <w:rFonts w:eastAsia="等线"/>
                                <w:kern w:val="0"/>
                                <w:sz w:val="28"/>
                                <w:szCs w:val="28"/>
                                <w:lang w:val="en-US" w:eastAsia="zh-CN"/>
                              </w:rPr>
                            </w:pPr>
                            <w:r>
                              <w:rPr>
                                <w:rFonts w:ascii="Yu Gothic UI Semibold" w:eastAsia="宋体" w:hAnsi="Yu Gothic UI Semibold" w:hint="eastAsia"/>
                                <w:color w:val="FFFFFF"/>
                                <w:kern w:val="24"/>
                                <w:sz w:val="72"/>
                                <w:szCs w:val="72"/>
                                <w14:textFill>
                                  <w14:solidFill>
                                    <w14:srgbClr w14:val="FFFFFF"/>
                                  </w14:solidFill>
                                </w14:textFill>
                                <w:lang w:val="en-US" w:eastAsia="zh-CN"/>
                              </w:rPr>
                              <w:t>2019</w:t>
                            </w:r>
                          </w:p>
                        </w:txbxContent>
                      </wps:txbx>
                      <wps:bodyPr vert="horz" wrap="square" lIns="91440" tIns="45720" rIns="91440" bIns="45720" anchor="t" anchorCtr="0" upright="0">
                        <a:spAutoFit/>
                      </wps:bodyPr>
                    </wps:wsp>
                  </a:graphicData>
                </a:graphic>
              </wp:anchor>
            </w:drawing>
          </mc:Choice>
          <mc:Fallback>
            <w:pict>
              <v:rect type="#_x0000_t1" id="矩形 14 25" o:spid="_x0000_s25" filled="f" stroked="f" style="position:absolute;margin-left:33.6pt;margin-top:256.75pt;width:160.65pt;height:69.600006pt;z-index:81;mso-position-horizontal:absolute;mso-position-vertical:absolute;mso-wrap-distance-left:8.999863pt;mso-wrap-distance-right:8.999863pt;mso-wrap-style:square;">
                <v:stroke color="#000000"/>
                <v:textbox id="875" inset="2.54mm,1.27mm,2.54mm,1.27mm" o:insetmode="custom" style="layout-flow:horizontal;v-text-anchor:top;mso-fit-shape-to-text:t;">
                  <w:txbxContent>
                    <w:p>
                      <w:pPr>
                        <w:spacing w:line="360" w:lineRule="auto"/>
                        <w:jc w:val="center"/>
                        <w:rPr>
                          <w:rFonts w:eastAsia="等线"/>
                          <w:kern w:val="0"/>
                          <w:sz w:val="28"/>
                          <w:szCs w:val="28"/>
                          <w:lang w:val="en-US" w:eastAsia="zh-CN"/>
                        </w:rPr>
                      </w:pPr>
                      <w:r>
                        <w:rPr>
                          <w:rFonts w:ascii="Yu Gothic UI Semibold" w:eastAsia="宋体" w:hAnsi="Yu Gothic UI Semibold" w:hint="eastAsia"/>
                          <w:color w:val="FFFFFF"/>
                          <w:kern w:val="24"/>
                          <w:sz w:val="72"/>
                          <w:szCs w:val="72"/>
                          <w14:textFill>
                            <w14:solidFill>
                              <w14:srgbClr w14:val="FFFFFF"/>
                            </w14:solidFill>
                          </w14:textFill>
                          <w:lang w:val="en-US" w:eastAsia="zh-CN"/>
                        </w:rPr>
                        <w:t>2019</w:t>
                      </w:r>
                    </w:p>
                  </w:txbxContent>
                </v:textbox>
              </v:rect>
            </w:pict>
          </mc:Fallback>
        </mc:AlternateContent>
      </w:r>
      <w:r>
        <w:rPr>
          <w:sz w:val="21"/>
        </w:rPr>
        <mc:AlternateContent>
          <mc:Choice Requires="wps">
            <w:drawing>
              <wp:anchor distT="0" distB="0" distL="114298" distR="114298" simplePos="0" relativeHeight="79" behindDoc="0" locked="0" layoutInCell="1" hidden="0" allowOverlap="1">
                <wp:simplePos x="0" y="0"/>
                <wp:positionH relativeFrom="column">
                  <wp:posOffset>789940</wp:posOffset>
                </wp:positionH>
                <wp:positionV relativeFrom="paragraph">
                  <wp:posOffset>3082925</wp:posOffset>
                </wp:positionV>
                <wp:extent cx="1313814" cy="1313814"/>
                <wp:effectExtent l="0" t="0" r="0" b="0"/>
                <wp:wrapNone/>
                <wp:docPr id="26" name="椭圆 9"/>
                <wp:cNvGraphicFramePr>
                  <a:graphicFrameLocks noChangeAspect="0"/>
                </wp:cNvGraphicFramePr>
                <a:graphic>
                  <a:graphicData uri="http://schemas.microsoft.com/office/word/2010/wordprocessingShape">
                    <wps:wsp>
                      <wps:cNvSpPr/>
                      <wps:spPr>
                        <a:xfrm rot="0">
                          <a:off x="0" y="0"/>
                          <a:ext cx="1313814" cy="1313814"/>
                        </a:xfrm>
                        <a:prstGeom prst="ellipse"/>
                        <a:solidFill>
                          <a:srgbClr val="1F2959"/>
                        </a:solidFill>
                        <a:ln w="9525" cmpd="sng" cap="flat">
                          <a:noFill/>
                          <a:prstDash val="solid"/>
                          <a:round/>
                        </a:ln>
                      </wps:spPr>
                      <wps:bodyPr vert="horz" wrap="square" lIns="91440" tIns="45720" rIns="91440" bIns="45720" anchor="ctr" anchorCtr="0" upright="1">
                        <a:noAutofit/>
                      </wps:bodyPr>
                    </wps:wsp>
                  </a:graphicData>
                </a:graphic>
              </wp:anchor>
            </w:drawing>
          </mc:Choice>
          <mc:Fallback>
            <w:pict>
              <v:oval type="#_x0000_t3" id="椭圆 9 27" o:spid="_x0000_s27" fillcolor="#1F2959" stroked="f" style="position:absolute;margin-left:62.200005pt;margin-top:242.75pt;width:103.45pt;height:103.45pt;z-index:79;mso-position-horizontal:absolute;mso-position-vertical:absolute;mso-wrap-distance-left:8.999863pt;mso-wrap-distance-right:8.999863pt;">
                <v:stroke color="#000000"/>
              </v:oval>
            </w:pict>
          </mc:Fallback>
        </mc:AlternateContent>
      </w:r>
      <w:r>
        <w:rPr>
          <w:sz w:val="21"/>
        </w:rPr>
        <mc:AlternateContent>
          <mc:Choice Requires="wps">
            <w:drawing>
              <wp:anchor distT="0" distB="0" distL="114298" distR="114298" simplePos="0" relativeHeight="73" behindDoc="0" locked="0" layoutInCell="1" hidden="0" allowOverlap="1">
                <wp:simplePos x="0" y="0"/>
                <wp:positionH relativeFrom="column">
                  <wp:posOffset>15875</wp:posOffset>
                </wp:positionH>
                <wp:positionV relativeFrom="paragraph">
                  <wp:posOffset>10435590</wp:posOffset>
                </wp:positionV>
                <wp:extent cx="7559675" cy="272415"/>
                <wp:effectExtent l="0" t="0" r="0" b="0"/>
                <wp:wrapNone/>
                <wp:docPr id="28" name="组合"/>
                <wp:cNvGraphicFramePr>
                  <a:graphicFrameLocks noChangeAspect="0"/>
                </wp:cNvGraphicFramePr>
                <a:graphic>
                  <a:graphicData uri="http://schemas.microsoft.com/office/word/2010/wordprocessingGroup">
                    <wpg:wgp>
                      <wpg:cNvPr id="29" name="组合 29"/>
                      <wpg:cNvGrpSpPr/>
                      <wpg:grpSpPr>
                        <a:xfrm rot="0">
                          <a:off x="0" y="0"/>
                          <a:ext cx="7559675" cy="272415"/>
                          <a:chOff x="0" y="0"/>
                          <a:chExt cx="7559675" cy="272415"/>
                        </a:xfrm>
                        <a:prstGeom prst="rect"/>
                        <a:solidFill>
                          <a:srgbClr val="FFFFFF"/>
                        </a:solidFill>
                        <a:ln w="9525" cmpd="sng" cap="flat">
                          <a:solidFill>
                            <a:srgbClr val="000000"/>
                          </a:solidFill>
                          <a:prstDash val="solid"/>
                          <a:miter/>
                        </a:ln>
                      </wpg:grpSpPr>
                      <wps:wsp>
                        <wps:cNvPr id="30" name="矩形 30"/>
                        <wps:cNvSpPr/>
                        <wps:spPr>
                          <a:xfrm rot="0">
                            <a:off x="0" y="0"/>
                            <a:ext cx="714375" cy="271780"/>
                          </a:xfrm>
                          <a:prstGeom prst="rect"/>
                          <a:solidFill>
                            <a:srgbClr val="FDBC11"/>
                          </a:solidFill>
                          <a:ln w="9525" cmpd="sng" cap="flat">
                            <a:noFill/>
                            <a:prstDash val="solid"/>
                            <a:miter/>
                          </a:ln>
                        </wps:spPr>
                        <wps:bodyPr vert="horz" wrap="square" lIns="91440" tIns="45720" rIns="91440" bIns="45720" anchor="ctr" anchorCtr="0" upright="1">
                          <a:noAutofit/>
                        </wps:bodyPr>
                      </wps:wsp>
                      <wps:wsp>
                        <wps:cNvPr id="31" name="矩形 31"/>
                        <wps:cNvSpPr/>
                        <wps:spPr>
                          <a:xfrm rot="0">
                            <a:off x="714375" y="634"/>
                            <a:ext cx="6845300" cy="271780"/>
                          </a:xfrm>
                          <a:prstGeom prst="rect"/>
                          <a:solidFill>
                            <a:srgbClr val="1F2959"/>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32" o:spid="_x0000_s32" coordorigin="25,16434" coordsize="11905,429" style="position:absolute;margin-left:1.2500019pt;margin-top:821.7pt;width:595.25pt;height:21.450022pt;z-index:73;mso-position-horizontal:absolute;mso-position-vertical:absolute;mso-wrap-distance-left:8.999863pt;mso-wrap-distance-right:8.999863pt;">
                <v:rect type="#_x0000_t1" id="_s33" o:spid="_x0000_s33" style="position:absolute;left:25;top:16434;width:1125;height:428;" fillcolor="#FDBC11" stroked="f">
                  <v:stroke color="#000000"/>
                </v:rect>
                <v:rect type="#_x0000_t1" id="_s34" o:spid="_x0000_s34" style="position:absolute;left:1150;top:16435;width:10780;height:428;" fillcolor="#1F2959" stroked="f">
                  <v:stroke color="#000000"/>
                </v:rect>
              </v:group>
            </w:pict>
          </mc:Fallback>
        </mc:AlternateContent>
      </w:r>
      <w:r>
        <w:rPr>
          <w:sz w:val="21"/>
        </w:rPr>
        <mc:AlternateContent>
          <mc:Choice Requires="wps">
            <w:drawing>
              <wp:anchor distT="0" distB="0" distL="114298" distR="114298" simplePos="0" relativeHeight="2" behindDoc="1" locked="0" layoutInCell="1" hidden="0" allowOverlap="1">
                <wp:simplePos x="0" y="0"/>
                <wp:positionH relativeFrom="column">
                  <wp:posOffset>-31749</wp:posOffset>
                </wp:positionH>
                <wp:positionV relativeFrom="paragraph">
                  <wp:posOffset>0</wp:posOffset>
                </wp:positionV>
                <wp:extent cx="7623175" cy="3917950"/>
                <wp:effectExtent l="0" t="0" r="0" b="0"/>
                <wp:wrapNone/>
                <wp:docPr id="35" name="组合"/>
                <wp:cNvGraphicFramePr>
                  <a:graphicFrameLocks noChangeAspect="0"/>
                </wp:cNvGraphicFramePr>
                <a:graphic>
                  <a:graphicData uri="http://schemas.microsoft.com/office/word/2010/wordprocessingGroup">
                    <wpg:wgp>
                      <wpg:cNvPr id="36" name="组合 36"/>
                      <wpg:cNvGrpSpPr/>
                      <wpg:grpSpPr>
                        <a:xfrm rot="0">
                          <a:off x="0" y="0"/>
                          <a:ext cx="7623175" cy="3917950"/>
                          <a:chOff x="0" y="0"/>
                          <a:chExt cx="7623175" cy="3917950"/>
                        </a:xfrm>
                        <a:prstGeom prst="rect"/>
                        <a:solidFill>
                          <a:srgbClr val="FFFFFF"/>
                        </a:solidFill>
                        <a:ln w="9525" cmpd="sng" cap="flat">
                          <a:solidFill>
                            <a:srgbClr val="000000"/>
                          </a:solidFill>
                          <a:prstDash val="solid"/>
                          <a:miter/>
                        </a:ln>
                      </wpg:grpSpPr>
                      <wps:wsp>
                        <wps:cNvPr id="37" name="矩形 37"/>
                        <wps:cNvSpPr/>
                        <wps:spPr>
                          <a:xfrm rot="0">
                            <a:off x="0" y="0"/>
                            <a:ext cx="7623175" cy="3917950"/>
                          </a:xfrm>
                          <a:prstGeom prst="rect"/>
                          <a:solidFill>
                            <a:srgbClr val="FDBC11"/>
                          </a:solidFill>
                          <a:ln w="9525" cmpd="sng" cap="flat">
                            <a:noFill/>
                            <a:prstDash val="solid"/>
                            <a:miter/>
                          </a:ln>
                        </wps:spPr>
                        <wps:bodyPr vert="horz" wrap="square" lIns="91440" tIns="45720" rIns="91440" bIns="45720" anchor="ctr" anchorCtr="0" upright="1">
                          <a:noAutofit/>
                        </wps:bodyPr>
                      </wps:wsp>
                      <wps:wsp>
                        <wps:cNvPr id="38" name="文本框 38"/>
                        <wps:cNvSpPr/>
                        <wps:spPr>
                          <a:xfrm rot="0">
                            <a:off x="2290445" y="3008630"/>
                            <a:ext cx="5132705" cy="883920"/>
                          </a:xfrm>
                          <a:prstGeom prst="rect"/>
                          <a:noFill/>
                          <a:ln w="9525" cmpd="sng" cap="flat">
                            <a:noFill/>
                            <a:prstDash val="solid"/>
                            <a:miter/>
                          </a:ln>
                        </wps:spPr>
                        <wps:txbx id="39">
                          <w:txbxContent>
                            <w:p>
                              <w:pPr>
                                <w:jc w:val="left"/>
                                <w:rPr>
                                  <w:rFonts w:eastAsia="等线"/>
                                  <w:color w:val="000000"/>
                                  <w:kern w:val="0"/>
                                  <w:sz w:val="92"/>
                                  <w:szCs w:val="92"/>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pPr>
                              <w:r>
                                <w:rPr>
                                  <w:rFonts w:ascii="思源黑体 HW Bold" w:eastAsia="思源黑体 HW Bold" w:hint="eastAsia"/>
                                  <w:color w:val="000000"/>
                                  <w:kern w:val="24"/>
                                  <w:sz w:val="92"/>
                                  <w:szCs w:val="92"/>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部门决算公开文本</w:t>
                              </w:r>
                            </w:p>
                          </w:txbxContent>
                        </wps:txbx>
                        <wps:bodyPr vert="horz" wrap="square" lIns="91440" tIns="45720" rIns="91440" bIns="45720" anchor="t" anchorCtr="0" upright="0">
                          <a:spAutoFit/>
                        </wps:bodyPr>
                      </wps:wsp>
                      <wps:bodyPr vert="horz" wrap="square" lIns="91440" tIns="45720" rIns="91440" bIns="45720" anchor="t" anchorCtr="0" upright="1">
                        <a:noAutofit/>
                      </wps:bodyPr>
                    </wpg:wgp>
                  </a:graphicData>
                </a:graphic>
              </wp:anchor>
            </w:drawing>
          </mc:Choice>
          <mc:Fallback>
            <w:pict>
              <v:group type="#_x0000_t1" id="组合 40" o:spid="_x0000_s40" coordorigin="-49,0" coordsize="12005,6170" style="position:absolute;margin-left:-2.4999924pt;margin-top:0.0pt;width:600.25pt;height:308.5pt;z-index:-46;mso-position-horizontal:absolute;mso-position-vertical:absolute;mso-wrap-distance-left:8.999863pt;mso-wrap-distance-right:8.999863pt;">
                <v:rect type="#_x0000_t1" id="_s41" o:spid="_x0000_s41" style="position:absolute;left:-49;top:0;width:12005;height:6170;" fillcolor="#FDBC11" stroked="f">
                  <v:stroke color="#000000"/>
                </v:rect>
                <v:shape type="#_x0000_t202" id="_s42" o:spid="_x0000_s42" style="position:absolute;left:3557;top:4738;width:8083;height:1392;mso-wrap-style:square;" filled="f" stroked="f">
                  <v:textbox id="849" inset="2.54mm,1.27mm,2.54mm,1.27mm" o:insetmode="custom" style="layout-flow:horizontal;v-text-anchor:top;mso-fit-shape-to-text:t;">
                    <w:txbxContent>
                      <w:p>
                        <w:pPr>
                          <w:jc w:val="left"/>
                          <w:rPr>
                            <w:rFonts w:eastAsia="等线"/>
                            <w:color w:val="000000"/>
                            <w:kern w:val="0"/>
                            <w:sz w:val="92"/>
                            <w:szCs w:val="92"/>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pPr>
                        <w:r>
                          <w:rPr>
                            <w:rFonts w:ascii="思源黑体 HW Bold" w:eastAsia="思源黑体 HW Bold" w:hint="eastAsia"/>
                            <w:color w:val="000000"/>
                            <w:kern w:val="24"/>
                            <w:sz w:val="92"/>
                            <w:szCs w:val="92"/>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部门决算公开文本</w:t>
                        </w:r>
                      </w:p>
                    </w:txbxContent>
                  </v:textbox>
                  <v:stroke color="#000000"/>
                </v:shape>
              </v:group>
            </w:pict>
          </mc:Fallback>
        </mc:AlternateContent>
      </w:r>
      <w:r>
        <mc:AlternateContent>
          <mc:Choice Requires="wps">
            <w:drawing>
              <wp:anchor distT="0" distB="0" distL="114298" distR="114298" simplePos="0" relativeHeight="75" behindDoc="0" locked="0" layoutInCell="1" hidden="0" allowOverlap="1">
                <wp:simplePos x="0" y="0"/>
                <wp:positionH relativeFrom="column">
                  <wp:posOffset>2346325</wp:posOffset>
                </wp:positionH>
                <wp:positionV relativeFrom="paragraph">
                  <wp:posOffset>3639820</wp:posOffset>
                </wp:positionV>
                <wp:extent cx="192404" cy="289559"/>
                <wp:effectExtent l="0" t="0" r="0" b="0"/>
                <wp:wrapNone/>
                <wp:docPr id="43" name="矩形 11"/>
                <wp:cNvGraphicFramePr>
                  <a:graphicFrameLocks noChangeAspect="0"/>
                </wp:cNvGraphicFramePr>
                <a:graphic>
                  <a:graphicData uri="http://schemas.microsoft.com/office/word/2010/wordprocessingShape">
                    <wps:wsp>
                      <wps:cNvSpPr/>
                      <wps:spPr>
                        <a:xfrm rot="0">
                          <a:off x="0" y="0"/>
                          <a:ext cx="192404" cy="289559"/>
                        </a:xfrm>
                        <a:prstGeom prst="rect"/>
                        <a:noFill/>
                        <a:ln w="9525" cmpd="sng" cap="flat">
                          <a:noFill/>
                          <a:prstDash val="solid"/>
                          <a:miter/>
                        </a:ln>
                      </wps:spPr>
                      <wps:txbx id="44">
                        <w:txbxContent>
                          <w:p/>
                        </w:txbxContent>
                      </wps:txbx>
                      <wps:bodyPr vert="horz" wrap="none" lIns="91440" tIns="45720" rIns="91440" bIns="45720" anchor="t" anchorCtr="0" upright="0">
                        <a:spAutoFit/>
                      </wps:bodyPr>
                    </wps:wsp>
                  </a:graphicData>
                </a:graphic>
              </wp:anchor>
            </w:drawing>
          </mc:Choice>
          <mc:Fallback>
            <w:pict>
              <v:rect type="#_x0000_t1" id="矩形 11 45" o:spid="_x0000_s45" filled="f" stroked="f" style="position:absolute;margin-left:184.75pt;margin-top:286.6pt;width:15.149996pt;height:22.799992pt;z-index:75;mso-position-horizontal:absolute;mso-position-vertical:absolute;mso-wrap-distance-left:8.999863pt;mso-wrap-distance-right:8.999863pt;mso-wrap-style:none;">
                <v:stroke color="#000000"/>
                <v:textbox id="876" inset="2.54mm,1.27mm,2.54mm,1.27mm" o:insetmode="custom" style="layout-flow:horizontal;v-text-anchor:top;mso-fit-shape-to-text:t;">
                  <w:txbxContent>
                    <w:p/>
                  </w:txbxContent>
                </v:textbox>
              </v:rect>
            </w:pict>
          </mc:Fallback>
        </mc:AlternateContent>
      </w:r>
    </w:p>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rPr>
          <w:rFonts w:ascii="黑体" w:eastAsia="黑体" w:cs="Times New Roman" w:hint="eastAsia"/>
          <w:sz w:val="48"/>
          <w:szCs w:val="48"/>
        </w:rPr>
      </w:pPr>
      <w:r>
        <w:rPr>
          <w:rFonts w:ascii="黑体" w:eastAsia="黑体" w:cs="Times New Roman" w:hint="eastAsia"/>
          <w:sz w:val="48"/>
          <w:szCs w:val="48"/>
        </w:rPr>
        <w:br w:type="page"/>
      </w:r>
    </w:p>
    <w:p>
      <w:pPr>
        <w:tabs>
          <w:tab w:val="left" w:pos="2728"/>
        </w:tabs>
        <w:rPr>
          <w:rFonts w:ascii="黑体" w:eastAsia="黑体" w:cs="Times New Roman" w:hint="eastAsia"/>
          <w:sz w:val="48"/>
          <w:szCs w:val="48"/>
          <w:lang w:eastAsia="zh-CN"/>
        </w:rPr>
      </w:pPr>
      <w:r>
        <w:rPr>
          <w:rFonts w:ascii="黑体" w:eastAsia="黑体" w:cs="Times New Roman" w:hint="eastAsia"/>
          <w:sz w:val="48"/>
          <w:szCs w:val="48"/>
          <w:lang w:eastAsia="zh-CN"/>
        </w:rPr>
        <w:tab/>
      </w:r>
    </w:p>
    <w:p>
      <w:pPr>
        <w:jc w:val="both"/>
        <w:rPr>
          <w:rFonts w:ascii="黑体" w:eastAsia="黑体" w:cs="黑体" w:hint="eastAsia"/>
          <w:sz w:val="56"/>
          <w:szCs w:val="72"/>
          <w:lang w:val="en-US" w:eastAsia="zh-CN"/>
        </w:rPr>
      </w:pPr>
    </w:p>
    <w:p>
      <w:pPr>
        <w:jc w:val="both"/>
        <w:rPr>
          <w:rFonts w:ascii="黑体" w:eastAsia="黑体" w:cs="黑体" w:hint="eastAsia"/>
          <w:b/>
          <w:bCs/>
          <w:sz w:val="72"/>
          <w:szCs w:val="96"/>
          <w:lang w:val="en-US" w:eastAsia="zh-CN"/>
        </w:rPr>
      </w:pPr>
      <w:r>
        <w:rPr>
          <w:rFonts w:ascii="黑体" w:eastAsia="黑体" w:cs="黑体" w:hint="eastAsia"/>
          <w:b/>
          <w:bCs/>
          <w:sz w:val="72"/>
          <w:szCs w:val="96"/>
          <w:lang w:val="en-US" w:eastAsia="zh-CN"/>
        </w:rPr>
        <w:t>2019年度部门决算公开文本</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ascii="黑体" w:eastAsia="黑体" w:cs="黑体" w:hint="eastAsia"/>
          <w:sz w:val="56"/>
          <w:szCs w:val="72"/>
          <w:lang w:val="en-US" w:eastAsia="zh-CN"/>
        </w:rPr>
      </w:pPr>
    </w:p>
    <w:p>
      <w:pPr>
        <w:keepNext w:val="0"/>
        <w:keepLines w:val="0"/>
        <w:pageBreakBefore w:val="0"/>
        <w:widowControl w:val="0"/>
        <w:kinsoku/>
        <w:wordWrap/>
        <w:overflowPunct/>
        <w:topLinePunct w:val="0"/>
        <w:autoSpaceDE/>
        <w:autoSpaceDN/>
        <w:bidi w:val="0"/>
        <w:adjustRightInd/>
        <w:snapToGrid w:val="0"/>
        <w:jc w:val="center"/>
        <w:textAlignment w:val="auto"/>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pPr>
      <w: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唐山市丰南区文化馆</w:t>
      </w:r>
    </w:p>
    <w:p>
      <w:pPr>
        <w:keepNext w:val="0"/>
        <w:keepLines w:val="0"/>
        <w:pageBreakBefore w:val="0"/>
        <w:widowControl w:val="0"/>
        <w:kinsoku/>
        <w:wordWrap/>
        <w:overflowPunct/>
        <w:topLinePunct w:val="0"/>
        <w:autoSpaceDE/>
        <w:autoSpaceDN/>
        <w:bidi w:val="0"/>
        <w:adjustRightInd/>
        <w:snapToGrid w:val="0"/>
        <w:jc w:val="center"/>
        <w:textAlignment w:val="auto"/>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sectPr>
          <w:headerReference w:type="default" r:id="rId3"/>
          <w:headerReference w:type="first" r:id="rId4"/>
          <w:footerReference w:type="first" r:id="rId5"/>
          <w:type w:val="continuous"/>
          <w:pgSz w:w="11906" w:h="16838"/>
          <w:pgMar w:top="2041" w:right="1531" w:bottom="2041" w:left="1531" w:header="851" w:footer="992" w:gutter="0"/>
          <w:titlePg/>
          <w:rtlGutter/>
          <w:docGrid w:type="lines" w:linePitch="312" w:charSpace="0"/>
        </w:sectPr>
      </w:pPr>
      <w:r>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14:reflection w14:stA="0" w14:endPos="0" w14:dir="5400000" w14:fadeDir="5400000" w14:sx="100000" w14:sy="-100000" w14:algn="bl"/>
          <w14:textFill>
            <w14:solidFill>
              <w14:srgbClr w14:val="000000"/>
            </w14:solidFill>
          </w14:textFill>
          <w:lang w:val="en-US" w:eastAsia="zh-CN"/>
        </w:rPr>
        <w:t>二〇二〇年八月</w:t>
      </w:r>
    </w:p>
    <w:p>
      <w:pPr>
        <w:jc w:val="center"/>
        <w:rPr>
          <w:rFonts w:ascii="黑体" w:eastAsia="黑体" w:cs="黑体"/>
          <w:sz w:val="56"/>
          <w:szCs w:val="72"/>
          <w:lang w:val="en-US" w:eastAsia="zh-CN"/>
        </w:rPr>
        <w:sectPr>
          <w:headerReference w:type="default" r:id="rId6"/>
          <w:headerReference w:type="first" r:id="rId7"/>
          <w:footerReference w:type="default" r:id="rId8"/>
          <w:footerReference w:type="first" r:id="rId9"/>
          <w:type w:val="continuous"/>
          <w:pgSz w:w="11906" w:h="16838"/>
          <w:pgMar w:top="2041" w:right="1531" w:bottom="2041" w:left="1531" w:header="851" w:footer="992" w:gutter="0"/>
          <w:titlePg/>
          <w:rtlGutter/>
          <w:docGrid w:type="lines" w:linePitch="312" w:charSpace="0"/>
        </w:sectPr>
      </w:pPr>
    </w:p>
    <w:p>
      <w:pPr>
        <w:rPr>
          <w:rFonts w:ascii="黑体" w:eastAsia="黑体" w:cs="Times New Roman" w:hint="eastAsia"/>
          <w:sz w:val="48"/>
          <w:szCs w:val="48"/>
        </w:rPr>
      </w:pPr>
    </w:p>
    <w:p>
      <w:pPr>
        <w:tabs>
          <w:tab w:val="left" w:pos="2728"/>
        </w:tabs>
        <w:jc w:val="center"/>
        <w:rPr>
          <w:rFonts w:ascii="黑体" w:eastAsia="黑体" w:cs="Times New Roman"/>
          <w:sz w:val="48"/>
          <w:szCs w:val="48"/>
        </w:rPr>
      </w:pPr>
      <w:r>
        <w:rPr>
          <w:rFonts w:ascii="黑体" w:eastAsia="黑体" w:cs="Times New Roman" w:hint="eastAsia"/>
          <w:sz w:val="48"/>
          <w:szCs w:val="48"/>
        </w:rPr>
        <w:t>目</w:t>
      </w:r>
      <w:r>
        <w:rPr>
          <w:rFonts w:ascii="黑体" w:eastAsia="黑体" w:cs="Times New Roman" w:hint="eastAsia"/>
          <w:sz w:val="48"/>
          <w:szCs w:val="48"/>
          <w:lang w:val="en-US" w:eastAsia="zh-CN"/>
        </w:rPr>
        <w:t xml:space="preserve">    </w:t>
      </w:r>
      <w:r>
        <w:rPr>
          <w:rFonts w:ascii="黑体" w:eastAsia="黑体" w:cs="Times New Roman" w:hint="eastAsia"/>
          <w:sz w:val="48"/>
          <w:szCs w:val="48"/>
        </w:rPr>
        <w:t>录</w:t>
      </w:r>
    </w:p>
    <w:p>
      <w:pPr>
        <w:widowControl/>
        <w:spacing w:after="160" w:line="580" w:lineRule="exact"/>
        <w:ind w:firstLineChars="200" w:firstLine="640"/>
        <w:rPr>
          <w:rFonts w:ascii="Times New Roman" w:eastAsia="黑体" w:cs="Times New Roman" w:hAnsi="Times New Roman"/>
          <w:sz w:val="32"/>
          <w:szCs w:val="32"/>
        </w:rPr>
      </w:pPr>
    </w:p>
    <w:p>
      <w:pPr>
        <w:widowControl/>
        <w:spacing w:after="160" w:line="580" w:lineRule="exact"/>
        <w:ind w:firstLineChars="200" w:firstLine="640"/>
        <w:rPr>
          <w:rFonts w:ascii="Times New Roman" w:eastAsia="仿宋_GB2312" w:cs="Times New Roman" w:hAnsi="Times New Roman"/>
          <w:sz w:val="24"/>
          <w:szCs w:val="32"/>
        </w:rPr>
      </w:pPr>
      <w:r>
        <w:rPr>
          <w:rFonts w:ascii="Times New Roman" w:eastAsia="黑体" w:cs="Times New Roman" w:hAnsi="Times New Roman"/>
          <w:sz w:val="32"/>
          <w:szCs w:val="32"/>
        </w:rPr>
        <w:t>第一部分   部门概况</w:t>
      </w:r>
    </w:p>
    <w:p>
      <w:pPr>
        <w:widowControl/>
        <w:spacing w:after="160" w:line="580" w:lineRule="exact"/>
        <w:ind w:firstLineChars="398" w:firstLine="1274"/>
        <w:rPr>
          <w:rFonts w:ascii="Times New Roman" w:eastAsia="仿宋_GB2312" w:cs="Times New Roman" w:hAnsi="Times New Roman"/>
          <w:sz w:val="32"/>
          <w:szCs w:val="32"/>
        </w:rPr>
      </w:pPr>
      <w:r>
        <w:rPr>
          <w:rFonts w:ascii="Times New Roman" w:eastAsia="仿宋_GB2312" w:cs="Times New Roman" w:hAnsi="Times New Roman"/>
          <w:sz w:val="32"/>
          <w:szCs w:val="32"/>
        </w:rPr>
        <w:t>一、部门</w:t>
      </w:r>
      <w:r>
        <w:rPr>
          <w:rFonts w:ascii="Times New Roman" w:eastAsia="仿宋_GB2312" w:cs="Times New Roman" w:hAnsi="Times New Roman" w:hint="eastAsia"/>
          <w:sz w:val="32"/>
          <w:szCs w:val="32"/>
        </w:rPr>
        <w:t>职责</w:t>
      </w:r>
    </w:p>
    <w:p>
      <w:pPr>
        <w:widowControl/>
        <w:spacing w:after="160" w:line="580" w:lineRule="exact"/>
        <w:ind w:firstLineChars="398" w:firstLine="1274"/>
        <w:rPr>
          <w:rFonts w:ascii="Times New Roman" w:eastAsia="仿宋_GB2312" w:cs="Times New Roman" w:hAnsi="Times New Roman" w:hint="eastAsia"/>
          <w:sz w:val="32"/>
          <w:szCs w:val="32"/>
          <w:lang w:val="en-US" w:eastAsia="zh-CN"/>
        </w:rPr>
      </w:pPr>
      <w:r>
        <w:rPr>
          <w:rFonts w:ascii="Times New Roman" w:eastAsia="仿宋_GB2312" w:cs="Times New Roman" w:hAnsi="Times New Roman"/>
          <w:sz w:val="32"/>
          <w:szCs w:val="32"/>
        </w:rPr>
        <w:t>二、</w:t>
      </w:r>
      <w:r>
        <w:rPr>
          <w:rFonts w:ascii="Times New Roman" w:eastAsia="仿宋_GB2312" w:cs="Times New Roman" w:hAnsi="Times New Roman" w:hint="eastAsia"/>
          <w:sz w:val="32"/>
          <w:szCs w:val="32"/>
          <w:lang w:val="en-US" w:eastAsia="zh-CN"/>
        </w:rPr>
        <w:t>机构设置</w:t>
      </w:r>
    </w:p>
    <w:p>
      <w:pPr>
        <w:widowControl/>
        <w:spacing w:after="160" w:line="580" w:lineRule="exact"/>
        <w:ind w:firstLineChars="200" w:firstLine="640"/>
        <w:rPr>
          <w:rFonts w:ascii="Times New Roman" w:eastAsia="黑体" w:cs="Times New Roman" w:hAnsi="Times New Roman"/>
          <w:sz w:val="32"/>
          <w:szCs w:val="32"/>
        </w:rPr>
      </w:pPr>
      <w:r>
        <w:rPr>
          <w:rFonts w:ascii="Times New Roman" w:eastAsia="黑体" w:cs="Times New Roman" w:hAnsi="Times New Roman"/>
          <w:sz w:val="32"/>
          <w:szCs w:val="32"/>
        </w:rPr>
        <w:t>第二部分   201</w:t>
      </w:r>
      <w:r>
        <w:rPr>
          <w:rFonts w:ascii="Times New Roman" w:eastAsia="黑体" w:cs="Times New Roman" w:hAnsi="Times New Roman" w:hint="eastAsia"/>
          <w:sz w:val="32"/>
          <w:szCs w:val="32"/>
          <w:lang w:val="en-US" w:eastAsia="zh-CN"/>
        </w:rPr>
        <w:t>9</w:t>
      </w:r>
      <w:r>
        <w:rPr>
          <w:rFonts w:ascii="Times New Roman" w:eastAsia="黑体" w:cs="Times New Roman" w:hAnsi="Times New Roman"/>
          <w:sz w:val="32"/>
          <w:szCs w:val="32"/>
        </w:rPr>
        <w:t>年部门决算情况说明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sz w:val="32"/>
          <w:szCs w:val="32"/>
        </w:rPr>
        <w:t>一、收入支出决算总体情况说明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sz w:val="32"/>
          <w:szCs w:val="32"/>
        </w:rPr>
        <w:t>二、收入决算情况说明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sz w:val="32"/>
          <w:szCs w:val="32"/>
        </w:rPr>
        <w:t>三、支出决算情况说明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sz w:val="32"/>
          <w:szCs w:val="32"/>
        </w:rPr>
        <w:t>四、财政拨款收入支出决算总体情况说明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hint="eastAsia"/>
          <w:sz w:val="32"/>
          <w:szCs w:val="32"/>
          <w:lang w:val="en-US" w:eastAsia="zh-CN"/>
        </w:rPr>
        <w:t>五、一般公共预算</w:t>
      </w:r>
      <w:r>
        <w:rPr>
          <w:rFonts w:ascii="Times New Roman" w:eastAsia="仿宋_GB2312" w:cs="Times New Roman" w:hAnsi="Times New Roman"/>
          <w:sz w:val="32"/>
          <w:szCs w:val="32"/>
        </w:rPr>
        <w:t>“三公”经费支出决算情况说明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hint="eastAsia"/>
          <w:sz w:val="32"/>
          <w:szCs w:val="32"/>
          <w:lang w:val="en-US" w:eastAsia="zh-CN"/>
        </w:rPr>
        <w:t>六</w:t>
      </w:r>
      <w:r>
        <w:rPr>
          <w:rFonts w:ascii="Times New Roman" w:eastAsia="仿宋_GB2312" w:cs="Times New Roman" w:hAnsi="Times New Roman"/>
          <w:sz w:val="32"/>
          <w:szCs w:val="32"/>
        </w:rPr>
        <w:t>、预算绩效情况说明</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hint="eastAsia"/>
          <w:sz w:val="32"/>
          <w:szCs w:val="32"/>
          <w:lang w:val="en-US" w:eastAsia="zh-CN"/>
        </w:rPr>
        <w:t>七</w:t>
      </w:r>
      <w:r>
        <w:rPr>
          <w:rFonts w:ascii="Times New Roman" w:eastAsia="仿宋_GB2312" w:cs="Times New Roman" w:hAnsi="Times New Roman"/>
          <w:sz w:val="32"/>
          <w:szCs w:val="32"/>
        </w:rPr>
        <w:t>、其他重要事项的说明</w:t>
      </w:r>
    </w:p>
    <w:p>
      <w:pPr>
        <w:widowControl/>
        <w:spacing w:after="160" w:line="580" w:lineRule="exact"/>
        <w:ind w:firstLineChars="200" w:firstLine="640"/>
        <w:rPr>
          <w:rFonts w:ascii="Times New Roman" w:eastAsia="黑体" w:cs="Times New Roman" w:hAnsi="Times New Roman"/>
          <w:sz w:val="32"/>
          <w:szCs w:val="32"/>
        </w:rPr>
      </w:pPr>
      <w:r>
        <w:rPr>
          <w:rFonts w:ascii="Times New Roman" w:eastAsia="黑体" w:cs="Times New Roman" w:hAnsi="Times New Roman"/>
          <w:sz w:val="32"/>
          <w:szCs w:val="32"/>
        </w:rPr>
        <w:t>第三部分</w:t>
      </w:r>
      <w:r>
        <w:rPr>
          <w:rFonts w:ascii="Times New Roman" w:eastAsia="黑体" w:cs="Times New Roman" w:hAnsi="Times New Roman" w:hint="eastAsia"/>
          <w:sz w:val="32"/>
          <w:szCs w:val="32"/>
          <w:lang w:val="en-US" w:eastAsia="zh-CN"/>
        </w:rPr>
        <w:t xml:space="preserve">  </w:t>
      </w:r>
      <w:r>
        <w:rPr>
          <w:rFonts w:ascii="Times New Roman" w:eastAsia="黑体" w:cs="Times New Roman" w:hAnsi="Times New Roman"/>
          <w:sz w:val="32"/>
          <w:szCs w:val="32"/>
        </w:rPr>
        <w:t>名词解释</w:t>
      </w:r>
    </w:p>
    <w:p>
      <w:pPr>
        <w:widowControl/>
        <w:spacing w:after="160" w:line="580" w:lineRule="exact"/>
        <w:ind w:left="640" w:firstLineChars="200" w:firstLine="640"/>
        <w:rPr>
          <w:rFonts w:ascii="Times New Roman" w:eastAsia="仿宋_GB2312" w:cs="Times New Roman" w:hAnsi="Times New Roman"/>
          <w:sz w:val="32"/>
          <w:szCs w:val="32"/>
        </w:rPr>
      </w:pPr>
      <w:r>
        <w:rPr>
          <w:rFonts w:ascii="Times New Roman" w:eastAsia="仿宋_GB2312" w:cs="Times New Roman" w:hAnsi="Times New Roman" w:hint="eastAsia"/>
          <w:sz w:val="32"/>
          <w:szCs w:val="32"/>
        </w:rPr>
        <w:t>对专业性较强的名词进行解释（比如：财政拨款收入、事业收入、基本支出、项目支出等）。</w:t>
      </w:r>
    </w:p>
    <w:p>
      <w:pPr>
        <w:widowControl/>
        <w:numPr>
          <w:ilvl w:val="0"/>
          <w:numId w:val="1"/>
        </w:numPr>
        <w:spacing w:after="160" w:line="580" w:lineRule="exact"/>
        <w:ind w:left="0" w:firstLineChars="200" w:firstLine="640"/>
        <w:rPr>
          <w:rFonts w:ascii="Times New Roman" w:eastAsia="黑体" w:cs="Times New Roman" w:hAnsi="Times New Roman"/>
          <w:sz w:val="32"/>
          <w:szCs w:val="32"/>
        </w:rPr>
      </w:pPr>
      <w:r>
        <w:rPr>
          <w:rFonts w:ascii="Times New Roman" w:eastAsia="黑体" w:cs="Times New Roman" w:hAnsi="Times New Roman" w:hint="eastAsia"/>
          <w:sz w:val="32"/>
          <w:szCs w:val="32"/>
          <w:lang w:val="en-US" w:eastAsia="zh-CN"/>
        </w:rPr>
        <w:t xml:space="preserve"> </w:t>
      </w:r>
      <w:r>
        <w:rPr>
          <w:rFonts w:ascii="Times New Roman" w:eastAsia="黑体" w:cs="Times New Roman" w:hAnsi="Times New Roman"/>
          <w:sz w:val="32"/>
          <w:szCs w:val="32"/>
        </w:rPr>
        <w:t>201</w:t>
      </w:r>
      <w:r>
        <w:rPr>
          <w:rFonts w:ascii="Times New Roman" w:eastAsia="黑体" w:cs="Times New Roman" w:hAnsi="Times New Roman" w:hint="eastAsia"/>
          <w:sz w:val="32"/>
          <w:szCs w:val="32"/>
          <w:lang w:val="en-US" w:eastAsia="zh-CN"/>
        </w:rPr>
        <w:t>9</w:t>
      </w:r>
      <w:r>
        <w:rPr>
          <w:rFonts w:ascii="Times New Roman" w:eastAsia="黑体" w:cs="Times New Roman" w:hAnsi="Times New Roman"/>
          <w:sz w:val="32"/>
          <w:szCs w:val="32"/>
        </w:rPr>
        <w:t>年度部门决算报表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收入支出决算总表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收入决算表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支出决算表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财政拨款收入支出决算总表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一般公共预算财政拨款支出决算表</w:t>
      </w:r>
    </w:p>
    <w:p>
      <w:pPr>
        <w:pStyle w:val="18"/>
        <w:widowControl/>
        <w:numPr>
          <w:ilvl w:val="0"/>
          <w:numId w:val="2"/>
        </w:numPr>
        <w:spacing w:after="160" w:line="580" w:lineRule="exact"/>
        <w:rPr>
          <w:rFonts w:ascii="宋体" w:eastAsia="宋体" w:cs="Times New Roman"/>
          <w:sz w:val="32"/>
          <w:szCs w:val="32"/>
        </w:rPr>
      </w:pPr>
      <w:r>
        <w:rPr>
          <w:rFonts w:ascii="宋体" w:eastAsia="宋体" w:cs="Times New Roman" w:hint="eastAsia"/>
          <w:sz w:val="32"/>
          <w:szCs w:val="32"/>
        </w:rPr>
        <w:t>一般公共预算财政拨款基本支出决算表</w:t>
      </w:r>
    </w:p>
    <w:p>
      <w:pPr>
        <w:pStyle w:val="18"/>
        <w:widowControl/>
        <w:spacing w:after="160" w:line="580" w:lineRule="exact"/>
        <w:ind w:left="1280" w:right="434"/>
        <w:rPr>
          <w:rFonts w:ascii="宋体" w:eastAsia="宋体" w:cs="Times New Roman"/>
          <w:sz w:val="32"/>
          <w:szCs w:val="32"/>
        </w:rPr>
      </w:pPr>
      <w:r>
        <w:rPr>
          <w:rFonts w:ascii="宋体" w:eastAsia="宋体" w:cs="Times New Roman" w:hint="eastAsia"/>
          <w:sz w:val="32"/>
          <w:szCs w:val="32"/>
          <w:lang w:eastAsia="zh-CN"/>
        </w:rPr>
        <w:t>七、</w:t>
      </w:r>
      <w:r>
        <w:rPr>
          <w:rFonts w:ascii="宋体" w:eastAsia="宋体" w:cs="Times New Roman" w:hint="eastAsia"/>
          <w:sz w:val="32"/>
          <w:szCs w:val="32"/>
        </w:rPr>
        <w:t>一般公共预算财政拨款“三公”经费支出决算表</w:t>
      </w:r>
    </w:p>
    <w:p>
      <w:pPr>
        <w:pStyle w:val="18"/>
        <w:widowControl/>
        <w:spacing w:after="160" w:line="580" w:lineRule="exact"/>
        <w:ind w:left="1280" w:right="434"/>
        <w:rPr>
          <w:rFonts w:ascii="宋体" w:eastAsia="宋体" w:cs="Times New Roman"/>
          <w:sz w:val="32"/>
          <w:szCs w:val="32"/>
        </w:rPr>
      </w:pPr>
      <w:r>
        <w:rPr>
          <w:rFonts w:ascii="宋体" w:eastAsia="宋体" w:cs="Times New Roman" w:hint="eastAsia"/>
          <w:sz w:val="32"/>
          <w:szCs w:val="32"/>
          <w:lang w:eastAsia="zh-CN"/>
        </w:rPr>
        <w:t>八、</w:t>
      </w:r>
      <w:r>
        <w:rPr>
          <w:rFonts w:ascii="宋体" w:eastAsia="宋体" w:cs="Times New Roman" w:hint="eastAsia"/>
          <w:sz w:val="32"/>
          <w:szCs w:val="32"/>
        </w:rPr>
        <w:t>政府性基金预算财政拨款收入支出决算表</w:t>
      </w:r>
    </w:p>
    <w:p>
      <w:pPr>
        <w:pStyle w:val="18"/>
        <w:widowControl/>
        <w:spacing w:after="160" w:line="580" w:lineRule="exact"/>
        <w:ind w:left="1280" w:right="434"/>
        <w:rPr>
          <w:rFonts w:ascii="宋体" w:eastAsia="宋体" w:cs="Times New Roman" w:hint="eastAsia"/>
          <w:sz w:val="32"/>
          <w:szCs w:val="32"/>
        </w:rPr>
      </w:pPr>
      <w:r>
        <w:rPr>
          <w:rFonts w:ascii="宋体" w:eastAsia="宋体" w:cs="Times New Roman" w:hint="eastAsia"/>
          <w:sz w:val="32"/>
          <w:szCs w:val="32"/>
          <w:lang w:eastAsia="zh-CN"/>
        </w:rPr>
        <w:t>九、</w:t>
      </w:r>
      <w:r>
        <w:rPr>
          <w:rFonts w:ascii="宋体" w:eastAsia="宋体" w:cs="Times New Roman" w:hint="eastAsia"/>
          <w:sz w:val="32"/>
          <w:szCs w:val="32"/>
        </w:rPr>
        <w:t>国有资本经营预算财政拨款支出决算表</w:t>
      </w:r>
    </w:p>
    <w:p>
      <w:pPr>
        <w:pStyle w:val="18"/>
        <w:widowControl/>
        <w:spacing w:after="160" w:line="580" w:lineRule="exact"/>
        <w:ind w:left="1280" w:right="434"/>
        <w:rPr>
          <w:rFonts w:ascii="宋体" w:eastAsia="宋体" w:cs="Times New Roman" w:hint="eastAsia"/>
          <w:sz w:val="32"/>
          <w:szCs w:val="32"/>
        </w:rPr>
      </w:pPr>
    </w:p>
    <w:p>
      <w:pPr>
        <w:widowControl/>
        <w:spacing w:after="160" w:line="580" w:lineRule="exact"/>
        <w:rPr>
          <w:rFonts w:ascii="Times New Roman" w:eastAsia="黑体" w:cs="Times New Roman" w:hAnsi="Times New Roman"/>
          <w:sz w:val="32"/>
          <w:szCs w:val="32"/>
        </w:rPr>
      </w:pPr>
    </w:p>
    <w:p>
      <w:pPr>
        <w:widowControl/>
        <w:spacing w:after="160" w:line="580" w:lineRule="exact"/>
        <w:ind w:firstLineChars="200" w:firstLine="640"/>
        <w:rPr>
          <w:rFonts w:ascii="Times New Roman" w:eastAsia="黑体" w:cs="Times New Roman" w:hAnsi="Times New Roman"/>
          <w:sz w:val="32"/>
          <w:szCs w:val="32"/>
        </w:rPr>
      </w:pPr>
    </w:p>
    <w:p>
      <w:pPr>
        <w:widowControl/>
        <w:spacing w:after="160" w:line="580" w:lineRule="exact"/>
        <w:ind w:firstLineChars="200" w:firstLine="640"/>
        <w:rPr>
          <w:rFonts w:ascii="Times New Roman" w:eastAsia="黑体" w:cs="Times New Roman" w:hAnsi="Times New Roman"/>
          <w:sz w:val="32"/>
          <w:szCs w:val="32"/>
        </w:rPr>
        <w:sectPr>
          <w:headerReference w:type="default" r:id="rId10"/>
          <w:headerReference w:type="first" r:id="rId11"/>
          <w:footerReference w:type="default" r:id="rId12"/>
          <w:footerReference w:type="first" r:id="rId13"/>
          <w:type w:val="continuous"/>
          <w:pgSz w:w="11906" w:h="16838"/>
          <w:pgMar w:top="2041" w:right="1531" w:bottom="2041" w:left="1531" w:header="851" w:footer="992" w:gutter="0"/>
          <w:titlePg/>
          <w:rtlGutter/>
          <w:docGrid w:type="lines" w:linePitch="312" w:charSpace="0"/>
        </w:sectPr>
      </w:pPr>
    </w:p>
    <w:p>
      <w:pPr>
        <w:widowControl/>
        <w:spacing w:line="580" w:lineRule="exact"/>
        <w:ind w:firstLineChars="200" w:firstLine="640"/>
        <w:rPr>
          <w:rFonts w:eastAsia="黑体"/>
          <w:sz w:val="32"/>
          <w:szCs w:val="32"/>
        </w:rPr>
      </w:pPr>
    </w:p>
    <w:p>
      <w:pPr>
        <w:widowControl/>
        <w:spacing w:line="580" w:lineRule="exact"/>
        <w:ind w:firstLineChars="200" w:firstLine="640"/>
        <w:rPr>
          <w:rFonts w:eastAsia="黑体"/>
          <w:sz w:val="32"/>
          <w:szCs w:val="32"/>
        </w:rPr>
      </w:pPr>
    </w:p>
    <w:p>
      <w:pPr>
        <w:widowControl/>
        <w:spacing w:line="580" w:lineRule="exact"/>
        <w:ind w:firstLineChars="200" w:firstLine="640"/>
        <w:rPr>
          <w:rFonts w:eastAsia="黑体"/>
          <w:sz w:val="32"/>
          <w:szCs w:val="32"/>
        </w:rPr>
      </w:pPr>
    </w:p>
    <w:p>
      <w:r>
        <w:rPr>
          <w:sz w:val="72"/>
        </w:rPr>
        <mc:AlternateContent>
          <mc:Choice Requires="wps">
            <w:drawing>
              <wp:anchor distT="0" distB="0" distL="114298" distR="114298" simplePos="0" relativeHeight="83" behindDoc="0" locked="0" layoutInCell="1" hidden="0" allowOverlap="1">
                <wp:simplePos x="0" y="0"/>
                <wp:positionH relativeFrom="column">
                  <wp:posOffset>-1088390</wp:posOffset>
                </wp:positionH>
                <wp:positionV relativeFrom="paragraph">
                  <wp:posOffset>1024889</wp:posOffset>
                </wp:positionV>
                <wp:extent cx="7793355" cy="3341370"/>
                <wp:effectExtent l="0" t="0" r="0" b="0"/>
                <wp:wrapNone/>
                <wp:docPr id="69" name="文本框 143"/>
                <wp:cNvGraphicFramePr>
                  <a:graphicFrameLocks noChangeAspect="0"/>
                </wp:cNvGraphicFramePr>
                <a:graphic>
                  <a:graphicData uri="http://schemas.microsoft.com/office/word/2010/wordprocessingShape">
                    <wps:wsp>
                      <wps:cNvSpPr/>
                      <wps:spPr>
                        <a:xfrm rot="0">
                          <a:off x="0" y="0"/>
                          <a:ext cx="7793355" cy="3341370"/>
                        </a:xfrm>
                        <a:prstGeom prst="rect"/>
                        <a:pattFill prst="pct5">
                          <a:fgClr>
                            <a:srgbClr val="FFD966"/>
                          </a:fgClr>
                          <a:bgClr>
                            <a:srgbClr val="FFFFFF"/>
                          </a:bgClr>
                        </a:pattFill>
                        <a:ln w="12700" cmpd="sng" cap="flat">
                          <a:solidFill>
                            <a:srgbClr val="FFD966"/>
                          </a:solidFill>
                          <a:prstDash val="solid"/>
                          <a:round/>
                        </a:ln>
                      </wps:spPr>
                      <wps:txbx id="70">
                        <w:txbxContent>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rPr>
                            </w:pPr>
                            <w: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第一部分  部门概况</w:t>
                            </w:r>
                          </w:p>
                        </w:txbxContent>
                      </wps:txbx>
                      <wps:bodyPr vert="horz" wrap="square" lIns="91440" tIns="45720" rIns="91440" bIns="45720" anchor="ctr" anchorCtr="0" upright="0">
                        <a:noAutofit/>
                      </wps:bodyPr>
                    </wps:wsp>
                  </a:graphicData>
                </a:graphic>
              </wp:anchor>
            </w:drawing>
          </mc:Choice>
          <mc:Fallback>
            <w:pict>
              <v:shape type="#_x0000_t202" id="文本框 143 71" o:spid="_x0000_s71" fillcolor="#FFD966" stroked="t" strokeweight="1.0pt" style="position:absolute;margin-left:-85.7pt;margin-top:80.7pt;width:613.65pt;height:263.1pt;z-index:83;mso-position-horizontal:absolute;mso-position-vertical:absolute;mso-wrap-distance-left:8.999863pt;mso-wrap-distance-right:8.999863pt;mso-wrap-style:square;">
                <v:fill r:id="rId17" o:title="5%" color2="#FFFFFF" type="pattern"/>
                <v:stroke color="#FFD966"/>
                <v:textbox id="850" inset="2.54mm,1.27mm,2.54mm,1.27mm" o:insetmode="custom" style="layout-flow:horizontal;v-text-anchor:middle;">
                  <w:txbxContent>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rPr>
                      </w:pPr>
                      <w: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第一部分  部门概况</w:t>
                      </w:r>
                    </w:p>
                  </w:txbxContent>
                </v:textbox>
              </v:shape>
            </w:pict>
          </mc:Fallback>
        </mc:AlternateContent>
      </w:r>
      <w:r>
        <w:br w:type="page"/>
      </w:r>
    </w:p>
    <w:p>
      <w:pPr>
        <w:pStyle w:val="1"/>
        <w:keepNext/>
        <w:keepLines/>
        <w:pageBreakBefore w:val="0"/>
        <w:widowControl w:val="0"/>
        <w:kinsoku/>
        <w:wordWrap/>
        <w:overflowPunct/>
        <w:topLinePunct w:val="0"/>
        <w:autoSpaceDE/>
        <w:autoSpaceDN/>
        <w:bidi w:val="0"/>
        <w:adjustRightInd/>
        <w:snapToGrid/>
        <w:spacing w:before="0" w:after="0" w:line="580" w:lineRule="exact"/>
        <w:ind w:firstLineChars="200" w:firstLine="640"/>
        <w:jc w:val="left"/>
        <w:textAlignment w:val="auto"/>
        <w:rPr>
          <w:rFonts w:ascii="黑体" w:eastAsia="黑体" w:cs="黑体"/>
          <w:b w:val="0"/>
          <w:bCs w:val="0"/>
          <w:kern w:val="0"/>
          <w:sz w:val="32"/>
          <w:szCs w:val="32"/>
        </w:rPr>
      </w:pPr>
      <w:r>
        <w:rPr>
          <w:rFonts w:ascii="黑体" w:eastAsia="黑体" w:cs="黑体" w:hint="eastAsia"/>
          <w:b w:val="0"/>
          <w:bCs w:val="0"/>
          <w:kern w:val="0"/>
          <w:sz w:val="32"/>
          <w:szCs w:val="32"/>
        </w:rPr>
        <w:t>一、部门职责</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根据《唐山市丰南区文化馆职能配置、内设机构和人员编制规定》， 唐山市丰南区文化馆的主要职责是：</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（一）公共文化服务</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1、认真开展各项群众文化活动，在全社会营造良好的文化氛围。力争以“节假日”为重点，突出安排组织活动。做到“周周有演出，月月有安排”，全馆免费对外开放，广泛普及群众文化。全年全区性文化活动达到15场以上。</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2、突出围绕全区工作中心，精心谋划大型群众文化活动，让更多群众广泛参与，营造全民参与文化氛围。</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3、持续推进“送文化下乡”、“传统文化进校园、进社区”活动。全年送文化下乡、进社区、进校园演出60场次。</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（二）文化艺术生产</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1、以“原创+本土+品牌”为准则，打造文艺精品。全年编创优秀文艺作品，力争在省、市获奖3项以上。</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2、重点编创反映家乡巨变、时代风貌的各类作品，在全区各地巡回演出。</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3、全年组织全区性群众原创文艺作品展演，激发各地文艺骨干编创文艺作品积极性。</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（三）群众文化建设</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1、认真做好群众文化辅导、培训工作，不断提高全区群众文化队伍水平，不断增强群众文化活动队伍数量。积极培育发展音乐、舞蹈、戏剧、曲艺文艺队伍。通过请上来、走下去及艺术沙龙数字同步辅导等形式，力争使全区文化辅导培训覆盖率达90%以上，让更多的群众队伍演出水平得以提高。同时对文化骨干的培训覆盖率在全区各地达90%以上。</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2、积极开展“非遗”传承普及活动。对现有“非遗”项目通过“演出、展示”等活动形式得以保护、普及；对未知项目通过实施“非遗村”创建工作，不断挖掘、整理。</w:t>
      </w:r>
    </w:p>
    <w:p>
      <w:pPr>
        <w:keepNext/>
        <w:keepLines/>
        <w:pageBreakBefore w:val="0"/>
        <w:widowControl w:val="0"/>
        <w:kinsoku/>
        <w:wordWrap/>
        <w:overflowPunct/>
        <w:topLinePunct w:val="0"/>
        <w:autoSpaceDE/>
        <w:autoSpaceDN/>
        <w:bidi w:val="0"/>
        <w:adjustRightInd/>
        <w:snapToGrid/>
        <w:spacing w:before="0" w:after="0" w:line="580" w:lineRule="exact"/>
        <w:ind w:firstLineChars="200" w:firstLine="640"/>
        <w:jc w:val="left"/>
        <w:textAlignment w:val="auto"/>
        <w:outlineLvl w:val="0"/>
        <w:rPr>
          <w:rFonts w:ascii="黑体" w:eastAsia="黑体" w:cs="黑体" w:hint="eastAsia"/>
          <w:b w:val="0"/>
          <w:bCs w:val="0"/>
          <w:kern w:val="0"/>
          <w:sz w:val="32"/>
          <w:szCs w:val="32"/>
          <w:lang w:val="en-US" w:eastAsia="zh-CN" w:bidi="ar-SA"/>
        </w:rPr>
      </w:pPr>
      <w:r>
        <w:rPr>
          <w:rFonts w:ascii="黑体" w:eastAsia="黑体" w:cs="黑体" w:hint="eastAsia"/>
          <w:b w:val="0"/>
          <w:bCs w:val="0"/>
          <w:kern w:val="0"/>
          <w:sz w:val="32"/>
          <w:szCs w:val="32"/>
          <w:lang w:val="en-US" w:eastAsia="zh-CN" w:bidi="ar-SA"/>
        </w:rPr>
        <w:t>二、机构设置</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sz w:val="32"/>
          <w:szCs w:val="32"/>
          <w:lang w:val="en-US" w:eastAsia="zh-CN"/>
        </w:rPr>
      </w:pPr>
      <w:r>
        <w:rPr>
          <w:rFonts w:ascii="仿宋_GB2312" w:eastAsia="仿宋_GB2312" w:cs="DengXian-Regular" w:hint="eastAsia"/>
          <w:sz w:val="32"/>
          <w:szCs w:val="32"/>
          <w:lang w:val="en-US" w:eastAsia="zh-CN"/>
        </w:rPr>
        <w:t>从决算编报单位构成看，纳入</w:t>
      </w:r>
      <w:r>
        <w:rPr>
          <w:rFonts w:ascii="仿宋_GB2312" w:eastAsia="仿宋_GB2312" w:cs="DengXian-Regular" w:hint="eastAsia"/>
          <w:sz w:val="32"/>
          <w:szCs w:val="32"/>
          <w:lang w:eastAsia="zh-CN"/>
        </w:rPr>
        <w:t>2019</w:t>
      </w:r>
      <w:r>
        <w:rPr>
          <w:rFonts w:ascii="仿宋_GB2312" w:eastAsia="仿宋_GB2312" w:cs="DengXian-Regular" w:hint="eastAsia"/>
          <w:sz w:val="32"/>
          <w:szCs w:val="32"/>
        </w:rPr>
        <w:t xml:space="preserve"> 年度本部门决算汇编范</w:t>
      </w:r>
      <w:r>
        <w:rPr>
          <w:rFonts w:ascii="仿宋_GB2312" w:eastAsia="仿宋_GB2312" w:cs="DengXian-Regular" w:hint="eastAsia"/>
          <w:sz w:val="32"/>
          <w:szCs w:val="32"/>
          <w:lang w:val="en-US" w:eastAsia="zh-CN"/>
        </w:rPr>
        <w:t>围的独立核算单位（以下简称“单位”）共1个，具体情况如下：</w:t>
      </w:r>
    </w:p>
    <w:tbl>
      <w:tblPr>
        <w:tblpPr w:leftFromText="180" w:rightFromText="180" w:vertAnchor="text" w:horzAnchor="page" w:tblpXSpec="center" w:tblpY="10"/>
        <w:tblOverlap w:val="never"/>
        <w:tblW w:w="958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top w:w="0" w:type="dxa"/>
          <w:left w:w="108" w:type="dxa"/>
          <w:bottom w:w="0" w:type="dxa"/>
          <w:right w:w="108" w:type="dxa"/>
        </w:tblCellMar>
      </w:tblPr>
      <w:tblGrid>
        <w:gridCol w:w="985"/>
        <w:gridCol w:w="2640"/>
        <w:gridCol w:w="2970"/>
        <w:gridCol w:w="2985"/>
      </w:tblGrid>
      <w:tr>
        <w:trPr>
          <w:trHeight w:val="811"/>
        </w:trPr>
        <w:tc>
          <w:tcPr>
            <w:tcW w:w="985"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hint="eastAsia"/>
                <w:b/>
                <w:bCs/>
                <w:kern w:val="0"/>
                <w:sz w:val="28"/>
                <w:szCs w:val="28"/>
                <w:vertAlign w:val="baseline"/>
                <w:lang w:val="en-US" w:eastAsia="zh-CN"/>
              </w:rPr>
            </w:pPr>
            <w:r>
              <w:rPr>
                <w:rFonts w:ascii="仿宋_GB2312" w:eastAsia="仿宋_GB2312" w:cs="ArialUnicodeMS" w:hint="eastAsia"/>
                <w:b/>
                <w:bCs/>
                <w:kern w:val="0"/>
                <w:sz w:val="28"/>
                <w:szCs w:val="28"/>
                <w:vertAlign w:val="baseline"/>
                <w:lang w:val="en-US" w:eastAsia="zh-CN"/>
              </w:rPr>
              <w:t>序号</w:t>
            </w:r>
          </w:p>
        </w:tc>
        <w:tc>
          <w:tcPr>
            <w:tcW w:w="2640"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hint="eastAsia"/>
                <w:b/>
                <w:bCs/>
                <w:kern w:val="0"/>
                <w:sz w:val="28"/>
                <w:szCs w:val="28"/>
                <w:vertAlign w:val="baseline"/>
                <w:lang w:val="en-US" w:eastAsia="zh-CN"/>
              </w:rPr>
            </w:pPr>
            <w:r>
              <w:rPr>
                <w:rFonts w:ascii="仿宋_GB2312" w:eastAsia="仿宋_GB2312" w:cs="ArialUnicodeMS" w:hint="eastAsia"/>
                <w:b/>
                <w:bCs/>
                <w:kern w:val="0"/>
                <w:sz w:val="28"/>
                <w:szCs w:val="28"/>
                <w:vertAlign w:val="baseline"/>
                <w:lang w:val="en-US" w:eastAsia="zh-CN"/>
              </w:rPr>
              <w:t>单位名称</w:t>
            </w:r>
          </w:p>
        </w:tc>
        <w:tc>
          <w:tcPr>
            <w:tcW w:w="2970"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hint="eastAsia"/>
                <w:b/>
                <w:bCs/>
                <w:kern w:val="0"/>
                <w:sz w:val="28"/>
                <w:szCs w:val="28"/>
                <w:vertAlign w:val="baseline"/>
                <w:lang w:val="en-US" w:eastAsia="zh-CN"/>
              </w:rPr>
            </w:pPr>
            <w:r>
              <w:rPr>
                <w:rFonts w:ascii="仿宋_GB2312" w:eastAsia="仿宋_GB2312" w:cs="ArialUnicodeMS" w:hint="eastAsia"/>
                <w:b/>
                <w:bCs/>
                <w:kern w:val="0"/>
                <w:sz w:val="28"/>
                <w:szCs w:val="28"/>
                <w:vertAlign w:val="baseline"/>
                <w:lang w:val="en-US" w:eastAsia="zh-CN"/>
              </w:rPr>
              <w:t>单位基本性质</w:t>
            </w:r>
          </w:p>
        </w:tc>
        <w:tc>
          <w:tcPr>
            <w:tcW w:w="2985"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hint="eastAsia"/>
                <w:b/>
                <w:bCs/>
                <w:kern w:val="0"/>
                <w:sz w:val="28"/>
                <w:szCs w:val="28"/>
                <w:vertAlign w:val="baseline"/>
                <w:lang w:val="en-US" w:eastAsia="zh-CN"/>
              </w:rPr>
            </w:pPr>
            <w:r>
              <w:rPr>
                <w:rFonts w:ascii="仿宋_GB2312" w:eastAsia="仿宋_GB2312" w:cs="ArialUnicodeMS" w:hint="eastAsia"/>
                <w:b/>
                <w:bCs/>
                <w:kern w:val="0"/>
                <w:sz w:val="28"/>
                <w:szCs w:val="28"/>
                <w:vertAlign w:val="baseline"/>
                <w:lang w:val="en-US" w:eastAsia="zh-CN"/>
              </w:rPr>
              <w:t>经费形式</w:t>
            </w:r>
          </w:p>
        </w:tc>
      </w:tr>
      <w:tr>
        <w:trPr>
          <w:trHeight w:val="596"/>
        </w:trPr>
        <w:tc>
          <w:tcPr>
            <w:tcW w:w="985"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kern w:val="0"/>
                <w:sz w:val="28"/>
                <w:szCs w:val="28"/>
                <w:vertAlign w:val="baseline"/>
                <w:lang w:val="en-US" w:eastAsia="zh-CN"/>
              </w:rPr>
            </w:pPr>
            <w:r>
              <w:rPr>
                <w:rFonts w:ascii="仿宋_GB2312" w:eastAsia="仿宋_GB2312" w:cs="ArialUnicodeMS" w:hint="eastAsia"/>
                <w:kern w:val="0"/>
                <w:sz w:val="28"/>
                <w:szCs w:val="28"/>
                <w:vertAlign w:val="baseline"/>
                <w:lang w:val="en-US" w:eastAsia="zh-CN"/>
              </w:rPr>
              <w:t>1</w:t>
            </w:r>
          </w:p>
        </w:tc>
        <w:tc>
          <w:tcPr>
            <w:tcW w:w="2640"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hint="eastAsia"/>
                <w:kern w:val="0"/>
                <w:sz w:val="28"/>
                <w:szCs w:val="28"/>
                <w:vertAlign w:val="baseline"/>
                <w:lang w:val="en-US" w:eastAsia="zh-CN"/>
              </w:rPr>
            </w:pPr>
            <w:r>
              <w:rPr>
                <w:rFonts w:ascii="仿宋_GB2312" w:eastAsia="仿宋_GB2312" w:cs="ArialUnicodeMS" w:hint="eastAsia"/>
                <w:kern w:val="0"/>
                <w:sz w:val="28"/>
                <w:szCs w:val="28"/>
                <w:vertAlign w:val="baseline"/>
                <w:lang w:val="en-US" w:eastAsia="zh-CN"/>
              </w:rPr>
              <w:t>丰南区文化馆</w:t>
            </w:r>
          </w:p>
        </w:tc>
        <w:tc>
          <w:tcPr>
            <w:tcW w:w="2970"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hint="eastAsia"/>
                <w:kern w:val="0"/>
                <w:sz w:val="28"/>
                <w:szCs w:val="28"/>
                <w:vertAlign w:val="baseline"/>
                <w:lang w:eastAsia="zh-CN"/>
              </w:rPr>
            </w:pPr>
            <w:r>
              <w:rPr>
                <w:rFonts w:ascii="仿宋_GB2312" w:eastAsia="仿宋_GB2312" w:cs="ArialUnicodeMS" w:hint="eastAsia"/>
                <w:kern w:val="0"/>
                <w:sz w:val="28"/>
                <w:szCs w:val="28"/>
              </w:rPr>
              <w:t>财政补助事业单位</w:t>
            </w:r>
          </w:p>
        </w:tc>
        <w:tc>
          <w:tcPr>
            <w:tcW w:w="2985"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hint="eastAsia"/>
                <w:kern w:val="0"/>
                <w:sz w:val="28"/>
                <w:szCs w:val="28"/>
                <w:vertAlign w:val="baseline"/>
                <w:lang w:eastAsia="zh-CN"/>
              </w:rPr>
            </w:pPr>
            <w:r>
              <w:rPr>
                <w:rFonts w:ascii="仿宋_GB2312" w:eastAsia="仿宋_GB2312" w:cs="ArialUnicodeMS" w:hint="eastAsia"/>
                <w:kern w:val="0"/>
                <w:sz w:val="28"/>
                <w:szCs w:val="28"/>
              </w:rPr>
              <w:t>财政性资金基本保证</w:t>
            </w:r>
          </w:p>
        </w:tc>
      </w:tr>
      <w:tr>
        <w:trPr>
          <w:trHeight w:val="606"/>
        </w:trPr>
        <w:tc>
          <w:tcPr>
            <w:tcW w:w="9580" w:type="dxa"/>
            <w:gridSpan w:val="4"/>
            <w:tcBorders>
              <w:top w:val="single" w:sz="4" w:space="0" w:color="auto"/>
              <w:left w:val="nil"/>
              <w:bottom w:val="nil"/>
              <w:right w:val="nil"/>
            </w:tcBorders>
            <w:noWrap/>
          </w:tcPr>
          <w:p>
            <w:pPr>
              <w:pageBreakBefore w:val="0"/>
              <w:widowControl w:val="0"/>
              <w:kinsoku/>
              <w:wordWrap/>
              <w:overflowPunct/>
              <w:topLinePunct w:val="0"/>
              <w:autoSpaceDE/>
              <w:autoSpaceDN/>
              <w:bidi w:val="0"/>
              <w:adjustRightInd w:val="0"/>
              <w:snapToGrid w:val="0"/>
              <w:spacing w:after="0" w:line="580" w:lineRule="exact"/>
              <w:ind w:right="0" w:firstLineChars="200" w:firstLine="560"/>
              <w:textAlignment w:val="auto"/>
              <w:rPr>
                <w:rFonts w:ascii="仿宋_GB2312" w:eastAsia="仿宋_GB2312" w:cs="ArialUnicodeMS"/>
                <w:kern w:val="0"/>
                <w:sz w:val="28"/>
                <w:szCs w:val="28"/>
                <w:vertAlign w:val="baseline"/>
                <w:lang w:val="en-US" w:eastAsia="zh-CN"/>
              </w:rPr>
            </w:pPr>
          </w:p>
        </w:tc>
      </w:tr>
    </w:tbl>
    <w:p>
      <w:pPr>
        <w:widowControl/>
        <w:spacing w:after="160" w:line="580" w:lineRule="exact"/>
        <w:ind w:firstLineChars="200" w:firstLine="640"/>
        <w:rPr>
          <w:rFonts w:ascii="Times New Roman" w:eastAsia="黑体" w:cs="Times New Roman" w:hAnsi="Times New Roman"/>
          <w:sz w:val="32"/>
          <w:szCs w:val="32"/>
        </w:rPr>
      </w:pPr>
    </w:p>
    <w:p>
      <w:pPr>
        <w:widowControl/>
        <w:spacing w:after="160" w:line="580" w:lineRule="exact"/>
        <w:rPr>
          <w:rFonts w:ascii="Times New Roman" w:eastAsia="黑体" w:cs="Times New Roman" w:hAnsi="Times New Roman"/>
          <w:sz w:val="32"/>
          <w:szCs w:val="32"/>
        </w:rPr>
        <w:sectPr>
          <w:headerReference w:type="default" r:id="rId14"/>
          <w:footerReference w:type="default" r:id="rId15"/>
          <w:footerReference w:type="first" r:id="rId16"/>
          <w:pgSz w:w="11906" w:h="16838"/>
          <w:pgMar w:top="2041" w:right="1531" w:bottom="2041" w:left="1531" w:header="851" w:footer="992" w:gutter="0"/>
          <w:pgNumType w:fmt="numberInDash" w:start="1"/>
          <w:titlePg/>
          <w:rtlGutter/>
          <w:docGrid w:type="lines" w:linePitch="312" w:charSpace="0"/>
        </w:sectPr>
      </w:pPr>
    </w:p>
    <w:p>
      <w:pPr>
        <w:widowControl/>
        <w:spacing w:after="160" w:line="580" w:lineRule="exact"/>
        <w:rPr>
          <w:rFonts w:ascii="Times New Roman" w:eastAsia="黑体" w:cs="Times New Roman" w:hAnsi="Times New Roman"/>
          <w:sz w:val="32"/>
          <w:szCs w:val="32"/>
        </w:rPr>
        <w:sectPr>
          <w:headerReference w:type="default" r:id="rId18"/>
          <w:type w:val="continuous"/>
          <w:pgSz w:w="11906" w:h="16838"/>
          <w:pgMar w:top="2041" w:right="1531" w:bottom="2041" w:left="1531" w:header="851" w:footer="992" w:gutter="0"/>
          <w:pgNumType w:fmt="numberInDash"/>
          <w:titlePg/>
          <w:rtlGutter/>
          <w:docGrid w:type="lines" w:linePitch="312" w:charSpace="0"/>
        </w:sectPr>
      </w:pPr>
    </w:p>
    <w:p>
      <w:pPr>
        <w:widowControl/>
        <w:spacing w:after="160" w:line="580" w:lineRule="exact"/>
        <w:ind w:firstLineChars="200" w:firstLine="1440"/>
        <w:rPr>
          <w:rFonts w:ascii="Times New Roman" w:eastAsia="黑体" w:cs="Times New Roman" w:hAnsi="Times New Roman"/>
          <w:sz w:val="32"/>
          <w:szCs w:val="32"/>
        </w:rPr>
        <w:sectPr>
          <w:pgSz w:w="11906" w:h="16838"/>
          <w:pgMar w:top="2041" w:right="1531" w:bottom="2041" w:left="1531" w:header="851" w:footer="992" w:gutter="0"/>
          <w:pgNumType w:fmt="numberInDash"/>
          <w:titlePg/>
          <w:rtlGutter/>
          <w:docGrid w:type="lines" w:linePitch="312" w:charSpace="0"/>
        </w:sectPr>
      </w:pPr>
      <w:r>
        <w:rPr>
          <w:sz w:val="72"/>
        </w:rPr>
        <mc:AlternateContent>
          <mc:Choice Requires="wps">
            <w:drawing>
              <wp:anchor distT="0" distB="0" distL="114298" distR="114298" simplePos="0" relativeHeight="85" behindDoc="0" locked="0" layoutInCell="1" hidden="0" allowOverlap="1">
                <wp:simplePos x="0" y="0"/>
                <wp:positionH relativeFrom="column">
                  <wp:posOffset>-1088390</wp:posOffset>
                </wp:positionH>
                <wp:positionV relativeFrom="paragraph">
                  <wp:posOffset>3024504</wp:posOffset>
                </wp:positionV>
                <wp:extent cx="7793355" cy="2200275"/>
                <wp:effectExtent l="0" t="0" r="0" b="0"/>
                <wp:wrapNone/>
                <wp:docPr id="90" name="文本框 151"/>
                <wp:cNvGraphicFramePr>
                  <a:graphicFrameLocks noChangeAspect="0"/>
                </wp:cNvGraphicFramePr>
                <a:graphic>
                  <a:graphicData uri="http://schemas.microsoft.com/office/word/2010/wordprocessingShape">
                    <wps:wsp>
                      <wps:cNvSpPr/>
                      <wps:spPr>
                        <a:xfrm rot="0">
                          <a:off x="0" y="0"/>
                          <a:ext cx="7793355" cy="2200275"/>
                        </a:xfrm>
                        <a:prstGeom prst="rect"/>
                        <a:noFill/>
                        <a:ln w="6350" cmpd="sng" cap="flat">
                          <a:noFill/>
                          <a:prstDash val="solid"/>
                          <a:round/>
                        </a:ln>
                      </wps:spPr>
                      <wps:txbx id="91">
                        <w:txbxContent>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 </w:t>
                            </w:r>
                          </w:p>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p>
                        </w:txbxContent>
                      </wps:txbx>
                      <wps:bodyPr vert="horz" wrap="square" lIns="91440" tIns="45720" rIns="91440" bIns="45720" anchor="t" anchorCtr="0" upright="0">
                        <a:noAutofit/>
                      </wps:bodyPr>
                    </wps:wsp>
                  </a:graphicData>
                </a:graphic>
              </wp:anchor>
            </w:drawing>
          </mc:Choice>
          <mc:Fallback>
            <w:pict>
              <v:shape type="#_x0000_t202" id="文本框 151 92" o:spid="_x0000_s92" filled="f" stroked="f" strokeweight="0.5pt" style="position:absolute;margin-left:-85.7pt;margin-top:238.14998pt;width:613.65pt;height:173.25002pt;z-index:85;mso-position-horizontal:absolute;mso-position-vertical:absolute;mso-wrap-distance-left:8.999863pt;mso-wrap-distance-right:8.999863pt;mso-wrap-style:square;">
                <v:stroke color="#000000"/>
                <v:textbox id="851" inset="2.54mm,1.27mm,2.54mm,1.27mm" o:insetmode="custom" style="layout-flow:horizontal;v-text-anchor:top;">
                  <w:txbxContent>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 </w:t>
                      </w:r>
                    </w:p>
                    <w:p>
                      <w:pPr>
                        <w:widowControl/>
                        <w:jc w:val="center"/>
                        <w:rPr>
                          <w:rFonts w:ascii="黑体" w:eastAsia="黑体" w:cs="黑体" w:hint="eastAsia"/>
                          <w:color w:val="000000"/>
                          <w:sz w:val="96"/>
                          <w:szCs w:val="96"/>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p>
                  </w:txbxContent>
                </v:textbox>
              </v:shape>
            </w:pict>
          </mc:Fallback>
        </mc:AlternateContent>
      </w:r>
    </w:p>
    <w:p>
      <w:pPr>
        <w:widowControl/>
        <w:spacing w:line="580" w:lineRule="exact"/>
        <w:ind w:firstLineChars="200" w:firstLine="640"/>
        <w:rPr>
          <w:rFonts w:eastAsia="黑体"/>
          <w:sz w:val="32"/>
          <w:szCs w:val="32"/>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r>
        <w:rPr>
          <w:sz w:val="72"/>
        </w:rPr>
        <mc:AlternateContent>
          <mc:Choice Requires="wps">
            <w:drawing>
              <wp:anchor distT="0" distB="0" distL="114298" distR="114298" simplePos="0" relativeHeight="89" behindDoc="0" locked="0" layoutInCell="1" hidden="0" allowOverlap="1">
                <wp:simplePos x="0" y="0"/>
                <wp:positionH relativeFrom="column">
                  <wp:posOffset>-1153160</wp:posOffset>
                </wp:positionH>
                <wp:positionV relativeFrom="paragraph">
                  <wp:posOffset>55245</wp:posOffset>
                </wp:positionV>
                <wp:extent cx="7793355" cy="3341370"/>
                <wp:effectExtent l="0" t="0" r="0" b="0"/>
                <wp:wrapNone/>
                <wp:docPr id="93" name="文本框 187"/>
                <wp:cNvGraphicFramePr>
                  <a:graphicFrameLocks noChangeAspect="0"/>
                </wp:cNvGraphicFramePr>
                <a:graphic>
                  <a:graphicData uri="http://schemas.microsoft.com/office/word/2010/wordprocessingShape">
                    <wps:wsp>
                      <wps:cNvSpPr/>
                      <wps:spPr>
                        <a:xfrm rot="0">
                          <a:off x="0" y="0"/>
                          <a:ext cx="7793355" cy="3341370"/>
                        </a:xfrm>
                        <a:prstGeom prst="rect"/>
                        <a:pattFill prst="pct5">
                          <a:fgClr>
                            <a:srgbClr val="FFD966"/>
                          </a:fgClr>
                          <a:bgClr>
                            <a:srgbClr val="FFFFFF"/>
                          </a:bgClr>
                        </a:pattFill>
                        <a:ln w="6350" cmpd="sng" cap="flat">
                          <a:solidFill>
                            <a:srgbClr val="FFD966"/>
                          </a:solidFill>
                          <a:prstDash val="solid"/>
                          <a:round/>
                        </a:ln>
                      </wps:spPr>
                      <wps:txbx id="94">
                        <w:txbxContent>
                          <w:p>
                            <w:pPr>
                              <w:widowControl/>
                              <w:jc w:val="cente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第二部分 </w:t>
                            </w:r>
                          </w:p>
                          <w:p>
                            <w:pPr>
                              <w:widowControl/>
                              <w:jc w:val="center"/>
                              <w:rPr>
                                <w:rFonts w:ascii="黑体" w:eastAsia="黑体" w:cs="黑体"/>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2019年部门决算情况说明</w:t>
                            </w:r>
                          </w:p>
                          <w:p>
                            <w:pPr>
                              <w:rPr>
                                <w:rFonts w:hint="eastAsia"/>
                                <w14:textOutline w14:w="9525" w14:cap="sq">
                                  <w14:solidFill>
                                    <w14:srgbClr w14:val="808080"/>
                                  </w14:solidFill>
                                  <w14:prstDash w14:val="solid"/>
                                  <w14:round/>
                                </w14:textOutline>
                                <w:lang w:val="en-US"/>
                              </w:rPr>
                            </w:pPr>
                          </w:p>
                        </w:txbxContent>
                      </wps:txbx>
                      <wps:bodyPr vert="horz" wrap="square" lIns="91440" tIns="45720" rIns="91440" bIns="45720" anchor="ctr" anchorCtr="0" upright="0">
                        <a:noAutofit/>
                      </wps:bodyPr>
                    </wps:wsp>
                  </a:graphicData>
                </a:graphic>
              </wp:anchor>
            </w:drawing>
          </mc:Choice>
          <mc:Fallback>
            <w:pict>
              <v:shape type="#_x0000_t202" id="文本框 187 95" o:spid="_x0000_s95" fillcolor="#FFD966" stroked="t" strokeweight="0.5pt" style="position:absolute;margin-left:-90.8pt;margin-top:4.35pt;width:613.64996pt;height:263.1pt;z-index:89;mso-position-horizontal:absolute;mso-position-vertical:absolute;mso-wrap-distance-left:8.999863pt;mso-wrap-distance-right:8.999863pt;mso-wrap-style:square;">
                <v:fill r:id="rId19" o:title="5%" color2="#FFFFFF" type="pattern"/>
                <v:stroke color="#FFD966"/>
                <v:textbox id="852" inset="2.54mm,1.27mm,2.54mm,1.27mm" o:insetmode="custom" style="layout-flow:horizontal;v-text-anchor:middle;">
                  <w:txbxContent>
                    <w:p>
                      <w:pPr>
                        <w:widowControl/>
                        <w:jc w:val="cente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第二部分 </w:t>
                      </w:r>
                    </w:p>
                    <w:p>
                      <w:pPr>
                        <w:widowControl/>
                        <w:jc w:val="center"/>
                        <w:rPr>
                          <w:rFonts w:ascii="黑体" w:eastAsia="黑体" w:cs="黑体"/>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2019年部门决算情况说明</w:t>
                      </w:r>
                    </w:p>
                    <w:p>
                      <w:pPr>
                        <w:rPr>
                          <w:rFonts w:hint="eastAsia"/>
                          <w14:textOutline w14:w="9525" w14:cap="sq">
                            <w14:solidFill>
                              <w14:srgbClr w14:val="808080"/>
                            </w14:solidFill>
                            <w14:prstDash w14:val="solid"/>
                            <w14:round/>
                          </w14:textOutline>
                          <w:lang w:val="en-US"/>
                        </w:rPr>
                      </w:pPr>
                    </w:p>
                  </w:txbxContent>
                </v:textbox>
              </v:shape>
            </w:pict>
          </mc:Fallback>
        </mc:AlternateContent>
      </w: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一、收入</w:t>
      </w:r>
      <w:r>
        <w:rPr>
          <w:rFonts w:ascii="黑体" w:eastAsia="黑体" w:cs="黑体" w:hint="eastAsia"/>
          <w:b w:val="0"/>
          <w:bCs w:val="0"/>
          <w:kern w:val="0"/>
          <w:sz w:val="32"/>
          <w:szCs w:val="32"/>
          <w:lang w:val="en-US" w:eastAsia="zh-CN" w:bidi="ar-SA"/>
        </w:rPr>
        <w:t>支出</w:t>
      </w:r>
      <w:r>
        <w:rPr>
          <w:rFonts w:ascii="黑体" w:eastAsia="黑体" w:cs="Times New Roman" w:hint="eastAsia"/>
          <w:b w:val="0"/>
          <w:bCs w:val="0"/>
          <w:kern w:val="2"/>
          <w:sz w:val="32"/>
          <w:szCs w:val="32"/>
          <w:lang w:val="en-US" w:eastAsia="zh-CN" w:bidi="ar-SA"/>
        </w:rPr>
        <w:t>决算总体情况说明</w:t>
      </w:r>
    </w:p>
    <w:p>
      <w:pPr>
        <w:keepNext/>
        <w:keepLines/>
        <w:widowControl w:val="0"/>
        <w:snapToGrid w:val="0"/>
        <w:spacing w:line="580" w:lineRule="exact"/>
        <w:ind w:left="641"/>
        <w:rPr>
          <w:rFonts w:ascii="黑体" w:eastAsia="黑体" w:cs="Times New Roman"/>
          <w:sz w:val="32"/>
          <w:szCs w:val="32"/>
        </w:rPr>
      </w:pPr>
      <w:r>
        <w:rPr>
          <w:rFonts w:ascii="仿宋_GB2312" w:eastAsia="仿宋_GB2312" w:cs="DengXian-Regular" w:hint="eastAsia"/>
          <w:sz w:val="32"/>
          <w:szCs w:val="32"/>
        </w:rPr>
        <w:t>本部门2019年度收</w:t>
      </w:r>
      <w:r>
        <w:rPr>
          <w:rFonts w:ascii="仿宋_GB2312" w:eastAsia="仿宋_GB2312" w:cs="DengXian-Regular" w:hint="eastAsia"/>
          <w:sz w:val="32"/>
          <w:szCs w:val="32"/>
          <w:lang w:eastAsia="zh-CN"/>
        </w:rPr>
        <w:t>入</w:t>
      </w:r>
      <w:r>
        <w:rPr>
          <w:rFonts w:ascii="仿宋_GB2312" w:eastAsia="仿宋_GB2312" w:cs="DengXian-Regular" w:hint="eastAsia"/>
          <w:sz w:val="32"/>
          <w:szCs w:val="32"/>
        </w:rPr>
        <w:t>总计（含结转和结余）486.83</w:t>
      </w:r>
      <w:r>
        <w:rPr>
          <w:rFonts w:ascii="黑体" w:eastAsia="黑体" w:cs="Times New Roman" w:hint="eastAsia"/>
          <w:sz w:val="32"/>
          <w:szCs w:val="32"/>
        </w:rPr>
        <w:t>万元。</w:t>
      </w:r>
    </w:p>
    <w:p>
      <w:pPr>
        <w:pageBreakBefore w:val="0"/>
        <w:widowControl w:val="0"/>
        <w:kinsoku/>
        <w:wordWrap/>
        <w:overflowPunct/>
        <w:topLinePunct w:val="0"/>
        <w:autoSpaceDE/>
        <w:autoSpaceDN/>
        <w:bidi w:val="0"/>
        <w:adjustRightInd w:val="0"/>
        <w:snapToGrid w:val="0"/>
        <w:spacing w:line="580" w:lineRule="exact"/>
        <w:ind w:right="0"/>
        <w:textAlignment w:val="auto"/>
        <w:rPr>
          <w:rFonts w:ascii="仿宋_GB2312" w:eastAsia="仿宋_GB2312" w:cs="DengXian-Regular" w:hint="eastAsia"/>
          <w:sz w:val="32"/>
          <w:szCs w:val="32"/>
        </w:rPr>
      </w:pPr>
      <w:r>
        <w:rPr>
          <w:rFonts w:ascii="仿宋_GB2312" w:eastAsia="仿宋_GB2312" w:cs="DengXian-Regular" w:hint="eastAsia"/>
          <w:sz w:val="32"/>
          <w:szCs w:val="32"/>
        </w:rPr>
        <w:t>与2018年度决算相比，收</w:t>
      </w:r>
      <w:r>
        <w:rPr>
          <w:rFonts w:ascii="仿宋_GB2312" w:eastAsia="仿宋_GB2312" w:cs="DengXian-Regular" w:hint="eastAsia"/>
          <w:sz w:val="32"/>
          <w:szCs w:val="32"/>
          <w:lang w:eastAsia="zh-CN"/>
        </w:rPr>
        <w:t>入</w:t>
      </w:r>
      <w:r>
        <w:rPr>
          <w:rFonts w:ascii="仿宋_GB2312" w:eastAsia="仿宋_GB2312" w:cs="DengXian-Regular" w:hint="eastAsia"/>
          <w:sz w:val="32"/>
          <w:szCs w:val="32"/>
        </w:rPr>
        <w:t>增加52.14万元，增长11.99%，</w:t>
      </w:r>
      <w:r>
        <w:rPr>
          <w:rFonts w:ascii="仿宋_GB2312" w:eastAsia="仿宋_GB2312" w:cs="DengXian-Regular" w:hint="eastAsia"/>
          <w:sz w:val="32"/>
          <w:szCs w:val="32"/>
          <w:lang w:eastAsia="zh-CN"/>
        </w:rPr>
        <w:t>支出增加</w:t>
      </w:r>
      <w:r>
        <w:rPr>
          <w:rFonts w:ascii="仿宋_GB2312" w:eastAsia="仿宋_GB2312" w:cs="DengXian-Regular" w:hint="eastAsia"/>
          <w:sz w:val="32"/>
          <w:szCs w:val="32"/>
          <w:lang w:val="en-US" w:eastAsia="zh-CN"/>
        </w:rPr>
        <w:t>52.14万元，增长11.99</w:t>
      </w:r>
      <w:r>
        <w:rPr>
          <w:rFonts w:ascii="仿宋_GB2312" w:eastAsia="仿宋_GB2312" w:cs="DengXian-Regular" w:hint="eastAsia"/>
          <w:sz w:val="32"/>
          <w:szCs w:val="32"/>
        </w:rPr>
        <w:t>%</w:t>
      </w:r>
      <w:r>
        <w:rPr>
          <w:rFonts w:ascii="仿宋_GB2312" w:eastAsia="仿宋_GB2312" w:cs="DengXian-Regular" w:hint="eastAsia"/>
          <w:sz w:val="32"/>
          <w:szCs w:val="32"/>
          <w:lang w:eastAsia="zh-CN"/>
        </w:rPr>
        <w:t>，</w:t>
      </w:r>
      <w:r>
        <w:rPr>
          <w:rFonts w:ascii="仿宋_GB2312" w:eastAsia="仿宋_GB2312" w:cs="DengXian-Regular" w:hint="eastAsia"/>
          <w:sz w:val="32"/>
          <w:szCs w:val="32"/>
        </w:rPr>
        <w:t>主要原因是：增加职工工资福利。</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二、收入决算情况说明</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本部门</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度本年收入合计</w:t>
      </w:r>
      <w:r>
        <w:rPr>
          <w:rFonts w:ascii="仿宋_GB2312" w:eastAsia="仿宋_GB2312" w:cs="DengXian-Regular" w:hint="eastAsia"/>
          <w:sz w:val="32"/>
          <w:szCs w:val="32"/>
          <w:lang w:val="en-US" w:eastAsia="zh-CN"/>
        </w:rPr>
        <w:t>485.96</w:t>
      </w:r>
      <w:r>
        <w:rPr>
          <w:rFonts w:ascii="仿宋_GB2312" w:eastAsia="仿宋_GB2312" w:cs="DengXian-Regular" w:hint="eastAsia"/>
          <w:sz w:val="32"/>
          <w:szCs w:val="32"/>
        </w:rPr>
        <w:t>万元，其中：财政拨款收入</w:t>
      </w:r>
      <w:r>
        <w:rPr>
          <w:rFonts w:ascii="仿宋_GB2312" w:eastAsia="仿宋_GB2312" w:cs="DengXian-Regular" w:hint="eastAsia"/>
          <w:sz w:val="32"/>
          <w:szCs w:val="32"/>
          <w:lang w:val="en-US" w:eastAsia="zh-CN"/>
        </w:rPr>
        <w:t>483.46</w:t>
      </w:r>
      <w:r>
        <w:rPr>
          <w:rFonts w:ascii="仿宋_GB2312" w:eastAsia="仿宋_GB2312" w:cs="DengXian-Regular" w:hint="eastAsia"/>
          <w:sz w:val="32"/>
          <w:szCs w:val="32"/>
        </w:rPr>
        <w:t>万元，占</w:t>
      </w:r>
      <w:r>
        <w:rPr>
          <w:rFonts w:ascii="仿宋_GB2312" w:eastAsia="仿宋_GB2312" w:cs="DengXian-Regular" w:hint="eastAsia"/>
          <w:sz w:val="32"/>
          <w:szCs w:val="32"/>
          <w:lang w:val="en-US" w:eastAsia="zh-CN"/>
        </w:rPr>
        <w:t>99.49</w:t>
      </w:r>
      <w:r>
        <w:rPr>
          <w:rFonts w:ascii="仿宋_GB2312" w:eastAsia="仿宋_GB2312" w:cs="DengXian-Regular" w:hint="eastAsia"/>
          <w:sz w:val="32"/>
          <w:szCs w:val="32"/>
        </w:rPr>
        <w:t>%；其他收入</w:t>
      </w:r>
      <w:r>
        <w:rPr>
          <w:rFonts w:ascii="仿宋_GB2312" w:eastAsia="仿宋_GB2312" w:cs="DengXian-Regular" w:hint="eastAsia"/>
          <w:sz w:val="32"/>
          <w:szCs w:val="32"/>
          <w:lang w:val="en-US" w:eastAsia="zh-CN"/>
        </w:rPr>
        <w:t>2.5</w:t>
      </w:r>
      <w:r>
        <w:rPr>
          <w:rFonts w:ascii="仿宋_GB2312" w:eastAsia="仿宋_GB2312" w:cs="DengXian-Regular" w:hint="eastAsia"/>
          <w:sz w:val="32"/>
          <w:szCs w:val="32"/>
        </w:rPr>
        <w:t>万元，占</w:t>
      </w:r>
      <w:r>
        <w:rPr>
          <w:rFonts w:ascii="仿宋_GB2312" w:eastAsia="仿宋_GB2312" w:cs="DengXian-Regular" w:hint="eastAsia"/>
          <w:sz w:val="32"/>
          <w:szCs w:val="32"/>
          <w:lang w:val="en-US" w:eastAsia="zh-CN"/>
        </w:rPr>
        <w:t>0.51</w:t>
      </w:r>
      <w:r>
        <w:rPr>
          <w:rFonts w:ascii="仿宋_GB2312" w:eastAsia="仿宋_GB2312" w:cs="DengXian-Regular" w:hint="eastAsia"/>
          <w:sz w:val="32"/>
          <w:szCs w:val="32"/>
        </w:rPr>
        <w:t>%。如图所示</w:t>
      </w:r>
      <w:r>
        <w:rPr>
          <w:rFonts w:ascii="仿宋_GB2312" w:eastAsia="仿宋_GB2312" w:cs="DengXian-Regular" w:hint="eastAsia"/>
          <w:sz w:val="32"/>
          <w:szCs w:val="32"/>
          <w:highlight w:val="auto"/>
        </w:rPr>
        <w:t>：</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仿宋_GB2312" w:eastAsia="仿宋_GB2312" w:cs="DengXian-Regular" w:hint="eastAsia"/>
          <w:sz w:val="32"/>
          <w:szCs w:val="32"/>
        </w:rPr>
      </w:pPr>
      <w:r>
        <w:rPr>
          <w:sz w:val="32"/>
        </w:rPr>
        <mc:AlternateContent>
          <mc:Choice Requires="wps">
            <w:drawing>
              <wp:anchor distT="0" distB="0" distL="114298" distR="114298" simplePos="0" relativeHeight="87" behindDoc="0" locked="0" layoutInCell="1" hidden="0" allowOverlap="1">
                <wp:simplePos x="0" y="0"/>
                <wp:positionH relativeFrom="column">
                  <wp:posOffset>1827530</wp:posOffset>
                </wp:positionH>
                <wp:positionV relativeFrom="paragraph">
                  <wp:posOffset>3299460</wp:posOffset>
                </wp:positionV>
                <wp:extent cx="2760345" cy="490219"/>
                <wp:effectExtent l="0" t="0" r="0" b="0"/>
                <wp:wrapNone/>
                <wp:docPr id="97" name="文本框 32"/>
                <wp:cNvGraphicFramePr>
                  <a:graphicFrameLocks noChangeAspect="0"/>
                </wp:cNvGraphicFramePr>
                <a:graphic>
                  <a:graphicData uri="http://schemas.microsoft.com/office/word/2010/wordprocessingShape">
                    <wps:wsp>
                      <wps:cNvSpPr/>
                      <wps:spPr>
                        <a:xfrm rot="0">
                          <a:off x="0" y="0"/>
                          <a:ext cx="2760345" cy="490219"/>
                        </a:xfrm>
                        <a:prstGeom prst="rect"/>
                        <a:solidFill>
                          <a:srgbClr val="FFFFFF"/>
                        </a:solidFill>
                        <a:ln w="6350" cmpd="sng" cap="flat">
                          <a:noFill/>
                          <a:prstDash val="solid"/>
                          <a:round/>
                        </a:ln>
                      </wps:spPr>
                      <wps:txbx id="98">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1</w:t>
                            </w:r>
                            <w:r>
                              <w:rPr>
                                <w:rFonts w:ascii="仿宋_GB2312" w:eastAsia="仿宋_GB2312" w:cs="DengXian-Regular" w:hint="eastAsia"/>
                                <w:sz w:val="28"/>
                                <w:szCs w:val="28"/>
                              </w:rPr>
                              <w:t>：收入</w:t>
                            </w:r>
                            <w:r>
                              <w:rPr>
                                <w:rFonts w:ascii="仿宋_GB2312" w:eastAsia="仿宋_GB2312" w:cs="DengXian-Regular" w:hint="eastAsia"/>
                                <w:sz w:val="28"/>
                                <w:szCs w:val="28"/>
                                <w:lang w:val="en-US" w:eastAsia="zh-CN"/>
                              </w:rPr>
                              <w:t>构成情况</w:t>
                            </w:r>
                          </w:p>
                          <w:p>
                            <w:pPr>
                              <w:spacing w:after="160" w:line="480" w:lineRule="auto"/>
                              <w:rPr>
                                <w:rFonts w:ascii="Times New Roman" w:eastAsia="宋体" w:cs="Times New Roman" w:hAnsi="Times New Roman"/>
                                <w:sz w:val="20"/>
                                <w:szCs w:val="22"/>
                              </w:rPr>
                            </w:pPr>
                          </w:p>
                        </w:txbxContent>
                      </wps:txbx>
                      <wps:bodyPr vert="horz" wrap="square" lIns="91440" tIns="45720" rIns="91440" bIns="45720" anchor="t" anchorCtr="0" upright="0">
                        <a:noAutofit/>
                      </wps:bodyPr>
                    </wps:wsp>
                  </a:graphicData>
                </a:graphic>
              </wp:anchor>
            </w:drawing>
          </mc:Choice>
          <mc:Fallback>
            <w:pict>
              <v:shape type="#_x0000_t202" id="文本框 32 99" o:spid="_x0000_s99" fillcolor="#FFFFFF" stroked="f" strokeweight="0.5pt" style="position:absolute;margin-left:143.9pt;margin-top:259.8pt;width:217.35002pt;height:38.59999pt;z-index:87;mso-position-horizontal:absolute;mso-position-vertical:absolute;mso-wrap-distance-left:8.999863pt;mso-wrap-distance-right:8.999863pt;mso-wrap-style:square;">
                <v:stroke color="#000000"/>
                <v:textbox id="853" inset="2.54mm,1.27mm,2.54mm,1.27mm" o:insetmode="custom" style="layout-flow:horizontal;v-text-anchor:top;">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1</w:t>
                      </w:r>
                      <w:r>
                        <w:rPr>
                          <w:rFonts w:ascii="仿宋_GB2312" w:eastAsia="仿宋_GB2312" w:cs="DengXian-Regular" w:hint="eastAsia"/>
                          <w:sz w:val="28"/>
                          <w:szCs w:val="28"/>
                        </w:rPr>
                        <w:t>：收入</w:t>
                      </w:r>
                      <w:r>
                        <w:rPr>
                          <w:rFonts w:ascii="仿宋_GB2312" w:eastAsia="仿宋_GB2312" w:cs="DengXian-Regular" w:hint="eastAsia"/>
                          <w:sz w:val="28"/>
                          <w:szCs w:val="28"/>
                          <w:lang w:val="en-US" w:eastAsia="zh-CN"/>
                        </w:rPr>
                        <w:t>构成情况</w:t>
                      </w:r>
                    </w:p>
                    <w:p>
                      <w:pPr>
                        <w:spacing w:after="160" w:line="480" w:lineRule="auto"/>
                        <w:rPr>
                          <w:rFonts w:ascii="Times New Roman" w:eastAsia="宋体" w:cs="Times New Roman" w:hAnsi="Times New Roman"/>
                          <w:sz w:val="20"/>
                          <w:szCs w:val="22"/>
                        </w:rPr>
                      </w:pPr>
                    </w:p>
                  </w:txbxContent>
                </v:textbox>
              </v:shape>
            </w:pict>
          </mc:Fallback>
        </mc:AlternateContent>
      </w:r>
      <w:r>
        <w:drawing>
          <wp:inline distT="0" distB="0" distL="114300" distR="114300">
            <wp:extent cx="4819650" cy="3247389"/>
            <wp:effectExtent l="0" t="0" r="0" b="0"/>
            <wp:docPr id="100" name="图表 5"/>
            <wp:cNvGraphicFramePr>
              <a:graphicFrameLocks noChangeAspect="0"/>
            </wp:cNvGraphicFramePr>
            <a:graphic>
              <a:graphicData uri="http://schemas.openxmlformats.org/drawingml/2006/chart">
                <c:chart xmlns:c="http://schemas.openxmlformats.org/drawingml/2006/chart" r:id="rId20"/>
              </a:graphicData>
            </a:graphic>
          </wp:inline>
        </w:drawing>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hint="eastAsia"/>
          <w:b/>
          <w:bCs/>
          <w:kern w:val="2"/>
          <w:sz w:val="32"/>
          <w:szCs w:val="32"/>
          <w:lang w:val="en-US" w:eastAsia="zh-CN" w:bidi="ar-SA"/>
        </w:rPr>
      </w:pP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三、支出决算情况说明</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sz w:val="32"/>
          <w:szCs w:val="32"/>
        </w:rPr>
      </w:pPr>
      <w:r>
        <w:rPr>
          <w:rFonts w:ascii="仿宋_GB2312" w:eastAsia="仿宋_GB2312" w:cs="DengXian-Regular" w:hint="eastAsia"/>
          <w:sz w:val="32"/>
          <w:szCs w:val="32"/>
        </w:rPr>
        <w:t>本部门</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度本年支出合计</w:t>
      </w:r>
      <w:r>
        <w:rPr>
          <w:rFonts w:ascii="仿宋_GB2312" w:eastAsia="仿宋_GB2312" w:cs="DengXian-Regular" w:hint="eastAsia"/>
          <w:sz w:val="32"/>
          <w:szCs w:val="32"/>
          <w:lang w:val="en-US" w:eastAsia="zh-CN"/>
        </w:rPr>
        <w:t>485.96</w:t>
      </w:r>
      <w:r>
        <w:rPr>
          <w:rFonts w:ascii="仿宋_GB2312" w:eastAsia="仿宋_GB2312" w:cs="DengXian-Regular" w:hint="eastAsia"/>
          <w:sz w:val="32"/>
          <w:szCs w:val="32"/>
        </w:rPr>
        <w:t>万元，其中：基本支出</w:t>
      </w:r>
      <w:r>
        <w:rPr>
          <w:rFonts w:ascii="仿宋_GB2312" w:eastAsia="仿宋_GB2312" w:cs="DengXian-Regular" w:hint="eastAsia"/>
          <w:sz w:val="32"/>
          <w:szCs w:val="32"/>
          <w:lang w:val="en-US" w:eastAsia="zh-CN"/>
        </w:rPr>
        <w:t>431.18</w:t>
      </w:r>
      <w:r>
        <w:rPr>
          <w:rFonts w:ascii="仿宋_GB2312" w:eastAsia="仿宋_GB2312" w:cs="DengXian-Regular" w:hint="eastAsia"/>
          <w:sz w:val="32"/>
          <w:szCs w:val="32"/>
        </w:rPr>
        <w:t>万元，占</w:t>
      </w:r>
      <w:r>
        <w:rPr>
          <w:rFonts w:ascii="仿宋_GB2312" w:eastAsia="仿宋_GB2312" w:cs="DengXian-Regular" w:hint="eastAsia"/>
          <w:sz w:val="32"/>
          <w:szCs w:val="32"/>
          <w:lang w:val="en-US" w:eastAsia="zh-CN"/>
        </w:rPr>
        <w:t>88.73</w:t>
      </w:r>
      <w:r>
        <w:rPr>
          <w:rFonts w:ascii="仿宋_GB2312" w:eastAsia="仿宋_GB2312" w:cs="DengXian-Regular" w:hint="eastAsia"/>
          <w:sz w:val="32"/>
          <w:szCs w:val="32"/>
        </w:rPr>
        <w:t>%；项目支出</w:t>
      </w:r>
      <w:r>
        <w:rPr>
          <w:rFonts w:ascii="仿宋_GB2312" w:eastAsia="仿宋_GB2312" w:cs="DengXian-Regular" w:hint="eastAsia"/>
          <w:sz w:val="32"/>
          <w:szCs w:val="32"/>
          <w:lang w:val="en-US" w:eastAsia="zh-CN"/>
        </w:rPr>
        <w:t>54.78</w:t>
      </w:r>
      <w:r>
        <w:rPr>
          <w:rFonts w:ascii="仿宋_GB2312" w:eastAsia="仿宋_GB2312" w:cs="DengXian-Regular" w:hint="eastAsia"/>
          <w:sz w:val="32"/>
          <w:szCs w:val="32"/>
        </w:rPr>
        <w:t>万元，占</w:t>
      </w:r>
      <w:r>
        <w:rPr>
          <w:rFonts w:ascii="仿宋_GB2312" w:eastAsia="仿宋_GB2312" w:cs="DengXian-Regular" w:hint="eastAsia"/>
          <w:sz w:val="32"/>
          <w:szCs w:val="32"/>
          <w:lang w:val="en-US" w:eastAsia="zh-CN"/>
        </w:rPr>
        <w:t>11.27</w:t>
      </w:r>
      <w:r>
        <w:rPr>
          <w:rFonts w:ascii="仿宋_GB2312" w:eastAsia="仿宋_GB2312" w:cs="DengXian-Regular" w:hint="eastAsia"/>
          <w:sz w:val="32"/>
          <w:szCs w:val="32"/>
        </w:rPr>
        <w:t>%。如图所示：</w:t>
      </w:r>
    </w:p>
    <w:p>
      <w:pPr>
        <w:keepNext w:val="0"/>
        <w:keepLines w:val="0"/>
        <w:pageBreakBefore w:val="0"/>
        <w:widowControl w:val="0"/>
        <w:kinsoku/>
        <w:wordWrap/>
        <w:overflowPunct/>
        <w:topLinePunct w:val="0"/>
        <w:autoSpaceDE/>
        <w:autoSpaceDN/>
        <w:bidi w:val="0"/>
        <w:adjustRightInd w:val="0"/>
        <w:snapToGrid w:val="0"/>
        <w:spacing w:line="240" w:lineRule="auto"/>
        <w:ind w:right="0" w:firstLineChars="600" w:firstLine="1260"/>
        <w:textAlignment w:val="auto"/>
        <w:rPr>
          <w:rFonts w:ascii="仿宋_GB2312" w:eastAsia="仿宋_GB2312" w:cs="DengXian-Regular" w:hint="eastAsia"/>
          <w:sz w:val="32"/>
          <w:szCs w:val="32"/>
        </w:rPr>
      </w:pPr>
      <w:r>
        <w:drawing>
          <wp:inline distT="0" distB="0" distL="114300" distR="114300">
            <wp:extent cx="4819650" cy="3247389"/>
            <wp:effectExtent l="0" t="0" r="0" b="0"/>
            <wp:docPr id="101" name="图表 5"/>
            <wp:cNvGraphicFramePr>
              <a:graphicFrameLocks noChangeAspect="0"/>
            </wp:cNvGraphicFramePr>
            <a:graphic>
              <a:graphicData uri="http://schemas.openxmlformats.org/drawingml/2006/chart">
                <c:chart xmlns:c="http://schemas.openxmlformats.org/drawingml/2006/chart" r:id="rId21"/>
              </a:graphicData>
            </a:graphic>
          </wp:inline>
        </w:drawing>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hint="eastAsia"/>
          <w:b/>
          <w:bCs/>
          <w:kern w:val="2"/>
          <w:sz w:val="32"/>
          <w:szCs w:val="32"/>
          <w:lang w:val="en-US" w:eastAsia="zh-CN" w:bidi="ar-SA"/>
        </w:rPr>
      </w:pPr>
      <w:r>
        <w:rPr>
          <w:sz w:val="32"/>
        </w:rPr>
        <mc:AlternateContent>
          <mc:Choice Requires="wps">
            <w:drawing>
              <wp:anchor distT="0" distB="0" distL="114298" distR="114298" simplePos="0" relativeHeight="4" behindDoc="1" locked="0" layoutInCell="1" hidden="0" allowOverlap="1">
                <wp:simplePos x="0" y="0"/>
                <wp:positionH relativeFrom="column">
                  <wp:posOffset>1099185</wp:posOffset>
                </wp:positionH>
                <wp:positionV relativeFrom="paragraph">
                  <wp:posOffset>9525</wp:posOffset>
                </wp:positionV>
                <wp:extent cx="3314065" cy="483235"/>
                <wp:effectExtent l="0" t="0" r="0" b="0"/>
                <wp:wrapNone/>
                <wp:docPr id="102" name="文本框 30"/>
                <wp:cNvGraphicFramePr>
                  <a:graphicFrameLocks noChangeAspect="0"/>
                </wp:cNvGraphicFramePr>
                <a:graphic>
                  <a:graphicData uri="http://schemas.microsoft.com/office/word/2010/wordprocessingShape">
                    <wps:wsp>
                      <wps:cNvSpPr/>
                      <wps:spPr>
                        <a:xfrm rot="0">
                          <a:off x="0" y="0"/>
                          <a:ext cx="3314065" cy="483235"/>
                        </a:xfrm>
                        <a:prstGeom prst="rect"/>
                        <a:solidFill>
                          <a:srgbClr val="FFFFFF"/>
                        </a:solidFill>
                        <a:ln w="6350" cmpd="sng" cap="flat">
                          <a:noFill/>
                          <a:prstDash val="solid"/>
                          <a:round/>
                        </a:ln>
                      </wps:spPr>
                      <wps:txbx id="103">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2</w:t>
                            </w:r>
                            <w:r>
                              <w:rPr>
                                <w:rFonts w:ascii="仿宋_GB2312" w:eastAsia="仿宋_GB2312" w:cs="DengXian-Regular" w:hint="eastAsia"/>
                                <w:sz w:val="28"/>
                                <w:szCs w:val="28"/>
                              </w:rPr>
                              <w:t>：支出</w:t>
                            </w:r>
                            <w:r>
                              <w:rPr>
                                <w:rFonts w:ascii="仿宋_GB2312" w:eastAsia="仿宋_GB2312" w:cs="DengXian-Regular" w:hint="eastAsia"/>
                                <w:sz w:val="28"/>
                                <w:szCs w:val="28"/>
                                <w:lang w:val="en-US" w:eastAsia="zh-CN"/>
                              </w:rPr>
                              <w:t>构成情况（按支出性质）</w:t>
                            </w:r>
                          </w:p>
                          <w:p>
                            <w:pPr>
                              <w:spacing w:after="160" w:line="480" w:lineRule="auto"/>
                              <w:jc w:val="center"/>
                              <w:rPr>
                                <w:rFonts w:ascii="Times New Roman" w:eastAsia="宋体" w:cs="Times New Roman" w:hAnsi="Times New Roman"/>
                                <w:sz w:val="20"/>
                                <w:szCs w:val="22"/>
                              </w:rPr>
                            </w:pPr>
                          </w:p>
                        </w:txbxContent>
                      </wps:txbx>
                      <wps:bodyPr vert="horz" wrap="square" lIns="91440" tIns="45720" rIns="91440" bIns="45720" anchor="t" anchorCtr="0" upright="0">
                        <a:noAutofit/>
                      </wps:bodyPr>
                    </wps:wsp>
                  </a:graphicData>
                </a:graphic>
              </wp:anchor>
            </w:drawing>
          </mc:Choice>
          <mc:Fallback>
            <w:pict>
              <v:shape type="#_x0000_t202" id="文本框 30 104" o:spid="_x0000_s104" fillcolor="#FFFFFF" stroked="f" strokeweight="0.5pt" style="position:absolute;margin-left:86.55pt;margin-top:0.75pt;width:260.95pt;height:38.05pt;z-index:-45;mso-position-horizontal:absolute;mso-position-vertical:absolute;mso-wrap-distance-left:8.999863pt;mso-wrap-distance-right:8.999863pt;mso-wrap-style:square;">
                <v:stroke color="#000000"/>
                <v:textbox id="856" inset="2.54mm,1.27mm,2.54mm,1.27mm" o:insetmode="custom" style="layout-flow:horizontal;v-text-anchor:top;">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2</w:t>
                      </w:r>
                      <w:r>
                        <w:rPr>
                          <w:rFonts w:ascii="仿宋_GB2312" w:eastAsia="仿宋_GB2312" w:cs="DengXian-Regular" w:hint="eastAsia"/>
                          <w:sz w:val="28"/>
                          <w:szCs w:val="28"/>
                        </w:rPr>
                        <w:t>：支出</w:t>
                      </w:r>
                      <w:r>
                        <w:rPr>
                          <w:rFonts w:ascii="仿宋_GB2312" w:eastAsia="仿宋_GB2312" w:cs="DengXian-Regular" w:hint="eastAsia"/>
                          <w:sz w:val="28"/>
                          <w:szCs w:val="28"/>
                          <w:lang w:val="en-US" w:eastAsia="zh-CN"/>
                        </w:rPr>
                        <w:t>构成情况（按支出性质）</w:t>
                      </w:r>
                    </w:p>
                    <w:p>
                      <w:pPr>
                        <w:spacing w:after="160" w:line="480" w:lineRule="auto"/>
                        <w:jc w:val="center"/>
                        <w:rPr>
                          <w:rFonts w:ascii="Times New Roman" w:eastAsia="宋体" w:cs="Times New Roman" w:hAnsi="Times New Roman"/>
                          <w:sz w:val="20"/>
                          <w:szCs w:val="22"/>
                        </w:rPr>
                      </w:pPr>
                    </w:p>
                  </w:txbxContent>
                </v:textbox>
              </v:shape>
            </w:pict>
          </mc:Fallback>
        </mc:AlternateConten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四、</w:t>
      </w:r>
      <w:r>
        <w:rPr>
          <w:rFonts w:ascii="黑体" w:eastAsia="黑体" w:cs="黑体" w:hint="eastAsia"/>
          <w:b w:val="0"/>
          <w:bCs w:val="0"/>
          <w:kern w:val="0"/>
          <w:sz w:val="32"/>
          <w:szCs w:val="32"/>
          <w:lang w:val="en-US" w:eastAsia="zh-CN" w:bidi="ar-SA"/>
        </w:rPr>
        <w:t>财政</w:t>
      </w:r>
      <w:r>
        <w:rPr>
          <w:rFonts w:ascii="黑体" w:eastAsia="黑体" w:cs="Times New Roman" w:hint="eastAsia"/>
          <w:b w:val="0"/>
          <w:bCs w:val="0"/>
          <w:kern w:val="2"/>
          <w:sz w:val="32"/>
          <w:szCs w:val="32"/>
          <w:lang w:val="en-US" w:eastAsia="zh-CN" w:bidi="ar-SA"/>
        </w:rPr>
        <w:t>拨款收入支出决算总体情况说明</w:t>
      </w:r>
    </w:p>
    <w:p>
      <w:pPr>
        <w:pageBreakBefore w:val="0"/>
        <w:widowControl w:val="0"/>
        <w:kinsoku/>
        <w:wordWrap/>
        <w:overflowPunct/>
        <w:topLinePunct w:val="0"/>
        <w:autoSpaceDE/>
        <w:autoSpaceDN/>
        <w:bidi w:val="0"/>
        <w:snapToGrid w:val="0"/>
        <w:spacing w:line="580" w:lineRule="exact"/>
        <w:ind w:right="0" w:firstLineChars="200" w:firstLine="640"/>
        <w:textAlignment w:val="auto"/>
        <w:rPr>
          <w:rFonts w:ascii="楷体_GB2312" w:eastAsia="楷体_GB2312" w:cs="DengXian-Bold"/>
          <w:b/>
          <w:bCs/>
          <w:sz w:val="32"/>
          <w:szCs w:val="32"/>
        </w:rPr>
      </w:pPr>
      <w:r>
        <w:rPr>
          <w:rFonts w:ascii="楷体_GB2312" w:eastAsia="楷体_GB2312" w:cs="DengXian-Bold" w:hint="eastAsia"/>
          <w:b/>
          <w:bCs/>
          <w:sz w:val="32"/>
          <w:szCs w:val="32"/>
        </w:rPr>
        <w:t>（一）财政拨款收支与</w:t>
      </w:r>
      <w:r>
        <w:rPr>
          <w:rFonts w:ascii="楷体_GB2312" w:eastAsia="楷体_GB2312" w:cs="DengXian-Bold" w:hint="eastAsia"/>
          <w:b/>
          <w:bCs/>
          <w:sz w:val="32"/>
          <w:szCs w:val="32"/>
          <w:lang w:eastAsia="zh-CN"/>
        </w:rPr>
        <w:t>2018</w:t>
      </w:r>
      <w:r>
        <w:rPr>
          <w:rFonts w:ascii="楷体_GB2312" w:eastAsia="楷体_GB2312" w:cs="DengXian-Bold" w:hint="eastAsia"/>
          <w:b/>
          <w:bCs/>
          <w:sz w:val="32"/>
          <w:szCs w:val="32"/>
        </w:rPr>
        <w:t xml:space="preserve"> 年度决算对比情况</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本部门</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度</w:t>
      </w:r>
      <w:r>
        <w:rPr>
          <w:rFonts w:ascii="仿宋_GB2312" w:eastAsia="仿宋_GB2312" w:cs="DengXian-Regular" w:hint="eastAsia"/>
          <w:sz w:val="32"/>
          <w:szCs w:val="32"/>
          <w:lang w:val="en-US" w:eastAsia="zh-CN"/>
        </w:rPr>
        <w:t>形成的财政拨款收支均为一般公共预算</w:t>
      </w:r>
      <w:r>
        <w:rPr>
          <w:rFonts w:ascii="仿宋_GB2312" w:eastAsia="仿宋_GB2312" w:cs="DengXian-Regular" w:hint="eastAsia"/>
          <w:sz w:val="32"/>
          <w:szCs w:val="32"/>
        </w:rPr>
        <w:t>财政拨款</w:t>
      </w:r>
      <w:r>
        <w:rPr>
          <w:rFonts w:ascii="仿宋_GB2312" w:eastAsia="仿宋_GB2312" w:cs="DengXian-Regular" w:hint="eastAsia"/>
          <w:sz w:val="32"/>
          <w:szCs w:val="32"/>
          <w:lang w:eastAsia="zh-CN"/>
        </w:rPr>
        <w:t>，</w:t>
      </w:r>
      <w:r>
        <w:rPr>
          <w:rFonts w:ascii="仿宋_GB2312" w:eastAsia="仿宋_GB2312" w:cs="DengXian-Regular" w:hint="eastAsia"/>
          <w:sz w:val="32"/>
          <w:szCs w:val="32"/>
          <w:lang w:val="en-US" w:eastAsia="zh-CN"/>
        </w:rPr>
        <w:t xml:space="preserve">其中本年收入485.96 </w:t>
      </w:r>
      <w:r>
        <w:rPr>
          <w:rFonts w:ascii="仿宋_GB2312" w:eastAsia="仿宋_GB2312" w:cs="DengXian-Regular" w:hint="eastAsia"/>
          <w:sz w:val="32"/>
          <w:szCs w:val="32"/>
        </w:rPr>
        <w:t>万元</w:t>
      </w:r>
      <w:r>
        <w:rPr>
          <w:rFonts w:ascii="仿宋_GB2312" w:eastAsia="仿宋_GB2312" w:cs="DengXian-Regular" w:hint="eastAsia"/>
          <w:sz w:val="32"/>
          <w:szCs w:val="32"/>
          <w:lang w:val="en-US" w:eastAsia="zh-CN"/>
        </w:rPr>
        <w:t>,比2018年度</w:t>
      </w:r>
      <w:r>
        <w:rPr>
          <w:rFonts w:ascii="仿宋_GB2312" w:eastAsia="仿宋_GB2312" w:cs="DengXian-Regular" w:hint="eastAsia"/>
          <w:sz w:val="32"/>
          <w:szCs w:val="32"/>
        </w:rPr>
        <w:t>增加</w:t>
      </w:r>
      <w:r>
        <w:rPr>
          <w:rFonts w:ascii="仿宋_GB2312" w:eastAsia="仿宋_GB2312" w:cs="DengXian-Regular" w:hint="eastAsia"/>
          <w:sz w:val="32"/>
          <w:szCs w:val="32"/>
          <w:lang w:val="en-US" w:eastAsia="zh-CN"/>
        </w:rPr>
        <w:t>52.14</w:t>
      </w:r>
      <w:r>
        <w:rPr>
          <w:rFonts w:ascii="仿宋_GB2312" w:eastAsia="仿宋_GB2312" w:cs="DengXian-Regular" w:hint="eastAsia"/>
          <w:sz w:val="32"/>
          <w:szCs w:val="32"/>
        </w:rPr>
        <w:t>万元，增长</w:t>
      </w:r>
      <w:r>
        <w:rPr>
          <w:rFonts w:ascii="仿宋_GB2312" w:eastAsia="仿宋_GB2312" w:cs="DengXian-Regular" w:hint="eastAsia"/>
          <w:sz w:val="32"/>
          <w:szCs w:val="32"/>
          <w:lang w:val="en-US" w:eastAsia="zh-CN"/>
        </w:rPr>
        <w:t>12.02</w:t>
      </w:r>
      <w:r>
        <w:rPr>
          <w:rFonts w:ascii="仿宋_GB2312" w:eastAsia="仿宋_GB2312" w:cs="DengXian-Regular" w:hint="eastAsia"/>
          <w:sz w:val="32"/>
          <w:szCs w:val="32"/>
        </w:rPr>
        <w:t>%，主要是</w:t>
      </w:r>
      <w:r>
        <w:rPr>
          <w:rFonts w:ascii="仿宋_GB2312" w:eastAsia="仿宋_GB2312" w:cs="DengXian-Regular" w:hint="eastAsia"/>
          <w:sz w:val="32"/>
          <w:szCs w:val="32"/>
          <w:lang w:eastAsia="zh-CN"/>
        </w:rPr>
        <w:t>增加职工工资福利</w:t>
      </w:r>
      <w:r>
        <w:rPr>
          <w:rFonts w:ascii="仿宋_GB2312" w:eastAsia="仿宋_GB2312" w:cs="DengXian-Regular" w:hint="eastAsia"/>
          <w:sz w:val="32"/>
          <w:szCs w:val="32"/>
        </w:rPr>
        <w:t>；</w:t>
      </w:r>
      <w:r>
        <w:rPr>
          <w:rFonts w:ascii="仿宋_GB2312" w:eastAsia="仿宋_GB2312" w:cs="DengXian-Regular" w:hint="eastAsia"/>
          <w:sz w:val="32"/>
          <w:szCs w:val="32"/>
          <w:lang w:val="en-US" w:eastAsia="zh-CN"/>
        </w:rPr>
        <w:t>本年</w:t>
      </w:r>
      <w:r>
        <w:rPr>
          <w:rFonts w:ascii="仿宋_GB2312" w:eastAsia="仿宋_GB2312" w:cs="DengXian-Regular" w:hint="eastAsia"/>
          <w:sz w:val="32"/>
          <w:szCs w:val="32"/>
        </w:rPr>
        <w:t>支出</w:t>
      </w:r>
      <w:r>
        <w:rPr>
          <w:rFonts w:ascii="仿宋_GB2312" w:eastAsia="仿宋_GB2312" w:cs="DengXian-Regular" w:hint="eastAsia"/>
          <w:sz w:val="32"/>
          <w:szCs w:val="32"/>
          <w:lang w:val="en-US" w:eastAsia="zh-CN"/>
        </w:rPr>
        <w:t>485.96</w:t>
      </w:r>
      <w:r>
        <w:rPr>
          <w:rFonts w:ascii="仿宋_GB2312" w:eastAsia="仿宋_GB2312" w:cs="DengXian-Regular" w:hint="eastAsia"/>
          <w:sz w:val="32"/>
          <w:szCs w:val="32"/>
        </w:rPr>
        <w:t>万元</w:t>
      </w:r>
      <w:r>
        <w:rPr>
          <w:rFonts w:ascii="仿宋_GB2312" w:eastAsia="仿宋_GB2312" w:cs="DengXian-Regular" w:hint="eastAsia"/>
          <w:sz w:val="32"/>
          <w:szCs w:val="32"/>
          <w:lang w:eastAsia="zh-CN"/>
        </w:rPr>
        <w:t>，</w:t>
      </w:r>
      <w:r>
        <w:rPr>
          <w:rFonts w:ascii="仿宋_GB2312" w:eastAsia="仿宋_GB2312" w:cs="DengXian-Regular" w:hint="eastAsia"/>
          <w:sz w:val="32"/>
          <w:szCs w:val="32"/>
        </w:rPr>
        <w:t>增加</w:t>
      </w:r>
      <w:r>
        <w:rPr>
          <w:rFonts w:ascii="仿宋_GB2312" w:eastAsia="仿宋_GB2312" w:cs="DengXian-Regular" w:hint="eastAsia"/>
          <w:sz w:val="32"/>
          <w:szCs w:val="32"/>
          <w:lang w:val="en-US" w:eastAsia="zh-CN"/>
        </w:rPr>
        <w:t>52.12</w:t>
      </w:r>
      <w:r>
        <w:rPr>
          <w:rFonts w:ascii="仿宋_GB2312" w:eastAsia="仿宋_GB2312" w:cs="DengXian-Regular" w:hint="eastAsia"/>
          <w:sz w:val="32"/>
          <w:szCs w:val="32"/>
        </w:rPr>
        <w:t>万元，增长</w:t>
      </w:r>
      <w:r>
        <w:rPr>
          <w:rFonts w:ascii="仿宋_GB2312" w:eastAsia="仿宋_GB2312" w:cs="DengXian-Regular" w:hint="eastAsia"/>
          <w:sz w:val="32"/>
          <w:szCs w:val="32"/>
          <w:lang w:val="en-US" w:eastAsia="zh-CN"/>
        </w:rPr>
        <w:t>12.01</w:t>
      </w:r>
      <w:r>
        <w:rPr>
          <w:rFonts w:ascii="仿宋_GB2312" w:eastAsia="仿宋_GB2312" w:cs="DengXian-Regular" w:hint="eastAsia"/>
          <w:sz w:val="32"/>
          <w:szCs w:val="32"/>
        </w:rPr>
        <w:t>%，主要是</w:t>
      </w:r>
      <w:r>
        <w:rPr>
          <w:rFonts w:ascii="仿宋_GB2312" w:eastAsia="仿宋_GB2312" w:cs="DengXian-Regular" w:hint="eastAsia"/>
          <w:sz w:val="32"/>
          <w:szCs w:val="32"/>
          <w:lang w:eastAsia="zh-CN"/>
        </w:rPr>
        <w:t>增加职工工资福利</w:t>
      </w:r>
      <w:r>
        <w:rPr>
          <w:rFonts w:ascii="仿宋_GB2312" w:eastAsia="仿宋_GB2312" w:cs="DengXian-Regular" w:hint="eastAsia"/>
          <w:sz w:val="32"/>
          <w:szCs w:val="32"/>
        </w:rPr>
        <w:t>。</w:t>
      </w:r>
    </w:p>
    <w:p>
      <w:pPr>
        <w:keepNext w:val="0"/>
        <w:keepLines w:val="0"/>
        <w:pageBreakBefore w:val="0"/>
        <w:widowControl w:val="0"/>
        <w:kinsoku/>
        <w:wordWrap/>
        <w:overflowPunct/>
        <w:topLinePunct w:val="0"/>
        <w:autoSpaceDE/>
        <w:autoSpaceDN/>
        <w:bidi w:val="0"/>
        <w:adjustRightInd w:val="0"/>
        <w:snapToGrid w:val="0"/>
        <w:spacing w:after="0" w:line="240" w:lineRule="auto"/>
        <w:ind w:firstLineChars="200" w:firstLine="420"/>
        <w:jc w:val="center"/>
        <w:textAlignment w:val="auto"/>
        <w:rPr>
          <w:rFonts w:ascii="仿宋_GB2312" w:eastAsia="仿宋_GB2312" w:cs="DengXian-Regular"/>
          <w:sz w:val="32"/>
          <w:szCs w:val="32"/>
        </w:rPr>
      </w:pPr>
      <w:r>
        <w:drawing>
          <wp:inline distT="0" distB="0" distL="114300" distR="114300">
            <wp:extent cx="4572000" cy="2743200"/>
            <wp:effectExtent l="0" t="0" r="0" b="0"/>
            <wp:docPr id="105" name="图表 6"/>
            <wp:cNvGraphicFramePr>
              <a:graphicFrameLocks noChangeAspect="0"/>
            </wp:cNvGraphicFramePr>
            <a:graphic>
              <a:graphicData uri="http://schemas.openxmlformats.org/drawingml/2006/chart">
                <c:chart xmlns:c="http://schemas.openxmlformats.org/drawingml/2006/chart" r:id="rId22"/>
              </a:graphicData>
            </a:graphic>
          </wp:inline>
        </w:drawing>
      </w:r>
    </w:p>
    <w:p>
      <w:pPr>
        <w:keepNext w:val="0"/>
        <w:keepLines w:val="0"/>
        <w:pageBreakBefore w:val="0"/>
        <w:widowControl w:val="0"/>
        <w:kinsoku/>
        <w:wordWrap/>
        <w:overflowPunct/>
        <w:topLinePunct w:val="0"/>
        <w:autoSpaceDE/>
        <w:autoSpaceDN/>
        <w:bidi w:val="0"/>
        <w:adjustRightInd w:val="0"/>
        <w:snapToGrid w:val="0"/>
        <w:spacing w:after="0" w:line="240" w:lineRule="auto"/>
        <w:ind w:firstLineChars="200" w:firstLine="640"/>
        <w:jc w:val="center"/>
        <w:textAlignment w:val="auto"/>
        <w:rPr>
          <w:rFonts w:ascii="仿宋_GB2312" w:eastAsia="仿宋_GB2312" w:cs="DengXian-Regular"/>
          <w:sz w:val="32"/>
          <w:szCs w:val="32"/>
        </w:rPr>
      </w:pPr>
    </w:p>
    <w:p>
      <w:pPr>
        <w:adjustRightInd w:val="0"/>
        <w:snapToGrid w:val="0"/>
        <w:spacing w:line="300" w:lineRule="exact"/>
        <w:jc w:val="center"/>
        <w:rPr>
          <w:rFonts w:ascii="楷体_GB2312" w:eastAsia="楷体_GB2312" w:cs="DengXian-Bold" w:hint="eastAsia"/>
          <w:b/>
          <w:bCs/>
          <w:sz w:val="32"/>
          <w:szCs w:val="32"/>
        </w:rPr>
      </w:pPr>
      <w:r>
        <w:rPr>
          <w:rFonts w:ascii="仿宋_GB2312" w:eastAsia="仿宋_GB2312" w:cs="DengXian-Regular" w:hint="eastAsia"/>
          <w:sz w:val="28"/>
          <w:szCs w:val="28"/>
        </w:rPr>
        <w:t>图3：201</w:t>
      </w:r>
      <w:r>
        <w:rPr>
          <w:rFonts w:ascii="仿宋_GB2312" w:eastAsia="仿宋_GB2312" w:cs="DengXian-Regular" w:hint="eastAsia"/>
          <w:sz w:val="28"/>
          <w:szCs w:val="28"/>
          <w:lang w:val="en-US" w:eastAsia="zh-CN"/>
        </w:rPr>
        <w:t>8</w:t>
      </w:r>
      <w:r>
        <w:rPr>
          <w:rFonts w:ascii="仿宋_GB2312" w:eastAsia="仿宋_GB2312" w:cs="DengXian-Regular" w:hint="eastAsia"/>
          <w:sz w:val="28"/>
          <w:szCs w:val="28"/>
        </w:rPr>
        <w:t>-201</w:t>
      </w:r>
      <w:r>
        <w:rPr>
          <w:rFonts w:ascii="仿宋_GB2312" w:eastAsia="仿宋_GB2312" w:cs="DengXian-Regular" w:hint="eastAsia"/>
          <w:sz w:val="28"/>
          <w:szCs w:val="28"/>
          <w:lang w:val="en-US" w:eastAsia="zh-CN"/>
        </w:rPr>
        <w:t>9</w:t>
      </w:r>
      <w:r>
        <w:rPr>
          <w:rFonts w:ascii="仿宋_GB2312" w:eastAsia="仿宋_GB2312" w:cs="DengXian-Regular" w:hint="eastAsia"/>
          <w:sz w:val="28"/>
          <w:szCs w:val="28"/>
        </w:rPr>
        <w:t>年财政拨款收支出情况</w:t>
      </w:r>
    </w:p>
    <w:p>
      <w:pPr>
        <w:pageBreakBefore w:val="0"/>
        <w:widowControl w:val="0"/>
        <w:kinsoku/>
        <w:wordWrap/>
        <w:overflowPunct/>
        <w:topLinePunct w:val="0"/>
        <w:autoSpaceDE/>
        <w:autoSpaceDN/>
        <w:bidi w:val="0"/>
        <w:snapToGrid w:val="0"/>
        <w:spacing w:line="580" w:lineRule="exact"/>
        <w:ind w:right="0" w:firstLineChars="200" w:firstLine="640"/>
        <w:textAlignment w:val="auto"/>
        <w:rPr>
          <w:rFonts w:ascii="仿宋_GB2312" w:eastAsia="仿宋_GB2312" w:cs="DengXian-Bold"/>
          <w:b/>
          <w:bCs/>
          <w:sz w:val="32"/>
          <w:szCs w:val="32"/>
        </w:rPr>
      </w:pPr>
      <w:r>
        <w:rPr>
          <w:rFonts w:ascii="楷体_GB2312" w:eastAsia="楷体_GB2312" w:cs="DengXian-Bold" w:hint="eastAsia"/>
          <w:b/>
          <w:bCs/>
          <w:sz w:val="32"/>
          <w:szCs w:val="32"/>
        </w:rPr>
        <w:t>（二）财政拨款收支与年初预算数对比情况</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lang w:val="en-US" w:eastAsia="zh-CN"/>
        </w:rPr>
      </w:pPr>
      <w:r>
        <w:rPr>
          <w:rFonts w:ascii="仿宋_GB2312" w:eastAsia="仿宋_GB2312" w:cs="DengXian-Regular" w:hint="eastAsia"/>
          <w:sz w:val="32"/>
          <w:szCs w:val="32"/>
          <w:lang w:val="en-US" w:eastAsia="zh-CN"/>
        </w:rPr>
        <w:t>本部门2019年度一般公共预算财政拨款收入485.96万元，完成年初预算的119.44%（如图4）,比年初预算增加79.10万元，决算数大于预算数主要原因是增加职工工资福利；本年支出485.96万元，完成年初预算的119.44%,比年初预算增加79.10万元，决算数大于预算数主要原因是增加职工工资福利。</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仿宋_GB2312" w:eastAsia="仿宋_GB2312" w:cs="DengXian-Regular" w:hint="eastAsia"/>
          <w:sz w:val="28"/>
          <w:szCs w:val="28"/>
        </w:rPr>
      </w:pPr>
      <w:r>
        <w:drawing>
          <wp:inline distT="0" distB="0" distL="114300" distR="114300">
            <wp:extent cx="4572000" cy="2743200"/>
            <wp:effectExtent l="0" t="0" r="0" b="0"/>
            <wp:docPr id="106" name="图表 8"/>
            <wp:cNvGraphicFramePr>
              <a:graphicFrameLocks noChangeAspect="0"/>
            </wp:cNvGraphicFramePr>
            <a:graphic>
              <a:graphicData uri="http://schemas.openxmlformats.org/drawingml/2006/chart">
                <c:chart xmlns:c="http://schemas.openxmlformats.org/drawingml/2006/chart" r:id="rId23"/>
              </a:graphicData>
            </a:graphic>
          </wp:inline>
        </w:drawing>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仿宋_GB2312" w:eastAsia="仿宋_GB2312" w:cs="DengXian-Regular" w:hint="eastAsia"/>
          <w:sz w:val="32"/>
          <w:szCs w:val="32"/>
          <w:highlight w:val="yellow"/>
        </w:rPr>
      </w:pPr>
      <w:r>
        <w:rPr>
          <w:rFonts w:ascii="仿宋_GB2312" w:eastAsia="仿宋_GB2312" w:cs="DengXian-Regular" w:hint="eastAsia"/>
          <w:sz w:val="28"/>
          <w:szCs w:val="28"/>
        </w:rPr>
        <w:t>图4：财政拨款收支出预决算对比情况</w:t>
      </w:r>
    </w:p>
    <w:p>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leftChars="200" w:left="420" w:right="0"/>
        <w:textAlignment w:val="auto"/>
        <w:rPr>
          <w:rFonts w:ascii="楷体_GB2312" w:eastAsia="楷体_GB2312" w:cs="DengXian-Bold" w:hint="eastAsia"/>
          <w:b/>
          <w:bCs/>
          <w:sz w:val="32"/>
          <w:szCs w:val="32"/>
          <w:lang w:val="en-US" w:eastAsia="zh-CN"/>
        </w:rPr>
      </w:pPr>
      <w:r>
        <w:rPr>
          <w:rFonts w:ascii="楷体_GB2312" w:eastAsia="楷体_GB2312" w:cs="DengXian-Bold" w:hint="eastAsia"/>
          <w:b/>
          <w:bCs/>
          <w:sz w:val="32"/>
          <w:szCs w:val="32"/>
          <w:lang w:val="en-US" w:eastAsia="zh-CN"/>
        </w:rPr>
        <w:t>财政拨款支出决算结构情况。</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lang w:val="en-US" w:eastAsia="zh-CN"/>
        </w:rPr>
      </w:pPr>
      <w:r>
        <w:rPr>
          <w:rFonts w:ascii="仿宋_GB2312" w:eastAsia="仿宋_GB2312" w:cs="DengXian-Regular" w:hint="eastAsia"/>
          <w:sz w:val="32"/>
          <w:szCs w:val="32"/>
          <w:lang w:val="en-US" w:eastAsia="zh-CN"/>
        </w:rPr>
        <w:t>2019 年度财政拨款支出485.96万元，按功能分类主要用于：文化旅游体育与传媒支出482.01万元，占99.19%；社会保障和就业支出3.95万元，占0.81%。</w:t>
      </w:r>
    </w:p>
    <w:p>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ascii="楷体_GB2312" w:eastAsia="楷体_GB2312" w:cs="DengXian-Bold" w:hint="eastAsia"/>
          <w:b/>
          <w:bCs/>
          <w:sz w:val="32"/>
          <w:szCs w:val="32"/>
          <w:lang w:val="en-US" w:eastAsia="zh-CN"/>
        </w:rPr>
      </w:pPr>
      <w:r>
        <w:drawing>
          <wp:inline distT="0" distB="0" distL="114300" distR="114300">
            <wp:extent cx="4819650" cy="3247389"/>
            <wp:effectExtent l="0" t="0" r="0" b="0"/>
            <wp:docPr id="107" name="图表 5"/>
            <wp:cNvGraphicFramePr>
              <a:graphicFrameLocks noChangeAspect="0"/>
            </wp:cNvGraphicFramePr>
            <a:graphic>
              <a:graphicData uri="http://schemas.openxmlformats.org/drawingml/2006/chart">
                <c:chart xmlns:c="http://schemas.openxmlformats.org/drawingml/2006/chart" r:id="rId24"/>
              </a:graphicData>
            </a:graphic>
          </wp:inline>
        </w:drawing>
      </w:r>
    </w:p>
    <w:p>
      <w:pPr>
        <w:keepNext w:val="0"/>
        <w:keepLines w:val="0"/>
        <w:pageBreakBefore w:val="0"/>
        <w:widowControl w:val="0"/>
        <w:kinsoku/>
        <w:wordWrap/>
        <w:overflowPunct/>
        <w:topLinePunct w:val="0"/>
        <w:autoSpaceDE/>
        <w:autoSpaceDN/>
        <w:bidi w:val="0"/>
        <w:adjustRightInd w:val="0"/>
        <w:snapToGrid w:val="0"/>
        <w:spacing w:line="580" w:lineRule="exact"/>
        <w:ind w:leftChars="200" w:left="420" w:right="0"/>
        <w:textAlignment w:val="auto"/>
        <w:rPr>
          <w:rFonts w:ascii="楷体_GB2312" w:eastAsia="楷体_GB2312" w:cs="DengXian-Bold" w:hint="eastAsia"/>
          <w:b/>
          <w:bCs/>
          <w:sz w:val="32"/>
          <w:szCs w:val="32"/>
          <w:lang w:val="en-US" w:eastAsia="zh-CN"/>
        </w:rPr>
      </w:pPr>
      <w:r>
        <w:rPr>
          <w:sz w:val="32"/>
        </w:rPr>
        <mc:AlternateContent>
          <mc:Choice Requires="wps">
            <w:drawing>
              <wp:anchor distT="0" distB="0" distL="114298" distR="114298" simplePos="0" relativeHeight="6" behindDoc="1" locked="0" layoutInCell="1" hidden="0" allowOverlap="1">
                <wp:simplePos x="0" y="0"/>
                <wp:positionH relativeFrom="column">
                  <wp:posOffset>1003935</wp:posOffset>
                </wp:positionH>
                <wp:positionV relativeFrom="paragraph">
                  <wp:posOffset>44449</wp:posOffset>
                </wp:positionV>
                <wp:extent cx="3576319" cy="501650"/>
                <wp:effectExtent l="0" t="0" r="0" b="0"/>
                <wp:wrapNone/>
                <wp:docPr id="108" name="文本框 32"/>
                <wp:cNvGraphicFramePr>
                  <a:graphicFrameLocks noChangeAspect="0"/>
                </wp:cNvGraphicFramePr>
                <a:graphic>
                  <a:graphicData uri="http://schemas.microsoft.com/office/word/2010/wordprocessingShape">
                    <wps:wsp>
                      <wps:cNvSpPr/>
                      <wps:spPr>
                        <a:xfrm rot="0">
                          <a:off x="0" y="0"/>
                          <a:ext cx="3576319" cy="501650"/>
                        </a:xfrm>
                        <a:prstGeom prst="rect"/>
                        <a:solidFill>
                          <a:srgbClr val="FFFFFF"/>
                        </a:solidFill>
                        <a:ln w="6350" cmpd="sng" cap="flat">
                          <a:noFill/>
                          <a:prstDash val="solid"/>
                          <a:round/>
                        </a:ln>
                      </wps:spPr>
                      <wps:txbx id="109">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5</w:t>
                            </w:r>
                            <w:r>
                              <w:rPr>
                                <w:rFonts w:ascii="仿宋_GB2312" w:eastAsia="仿宋_GB2312" w:cs="DengXian-Regular" w:hint="eastAsia"/>
                                <w:sz w:val="28"/>
                                <w:szCs w:val="28"/>
                              </w:rPr>
                              <w:t>：</w:t>
                            </w:r>
                            <w:r>
                              <w:rPr>
                                <w:rFonts w:ascii="仿宋_GB2312" w:eastAsia="仿宋_GB2312" w:cs="DengXian-Regular" w:hint="eastAsia"/>
                                <w:sz w:val="28"/>
                                <w:szCs w:val="28"/>
                                <w:lang w:val="en-US" w:eastAsia="zh-CN"/>
                              </w:rPr>
                              <w:t>财政拨款支出决算结构（按功能分类）</w:t>
                            </w:r>
                          </w:p>
                          <w:p>
                            <w:pPr>
                              <w:spacing w:after="160" w:line="480" w:lineRule="auto"/>
                              <w:rPr>
                                <w:rFonts w:ascii="Times New Roman" w:eastAsia="宋体" w:cs="Times New Roman" w:hAnsi="Times New Roman"/>
                                <w:sz w:val="20"/>
                                <w:szCs w:val="22"/>
                              </w:rPr>
                            </w:pPr>
                          </w:p>
                        </w:txbxContent>
                      </wps:txbx>
                      <wps:bodyPr vert="horz" wrap="square" lIns="91440" tIns="45720" rIns="91440" bIns="45720" anchor="t" anchorCtr="0" upright="0">
                        <a:noAutofit/>
                      </wps:bodyPr>
                    </wps:wsp>
                  </a:graphicData>
                </a:graphic>
              </wp:anchor>
            </w:drawing>
          </mc:Choice>
          <mc:Fallback>
            <w:pict>
              <v:shape type="#_x0000_t202" id="文本框 32 110" o:spid="_x0000_s110" fillcolor="#FFFFFF" stroked="f" strokeweight="0.5pt" style="position:absolute;margin-left:79.05pt;margin-top:3.4999998pt;width:281.6pt;height:39.5pt;z-index:-44;mso-position-horizontal:absolute;mso-position-vertical:absolute;mso-wrap-distance-left:8.999863pt;mso-wrap-distance-right:8.999863pt;mso-wrap-style:square;">
                <v:stroke color="#000000"/>
                <v:textbox id="860" inset="2.54mm,1.27mm,2.54mm,1.27mm" o:insetmode="custom" style="layout-flow:horizontal;v-text-anchor:top;">
                  <w:txbxContent>
                    <w:p>
                      <w:pPr>
                        <w:adjustRightInd w:val="0"/>
                        <w:snapToGrid w:val="0"/>
                        <w:spacing w:after="160" w:line="560" w:lineRule="exact"/>
                        <w:ind w:left="0" w:firstLine="0"/>
                        <w:jc w:val="center"/>
                        <w:rPr>
                          <w:rFonts w:ascii="仿宋_GB2312" w:eastAsia="仿宋_GB2312" w:cs="DengXian-Regular"/>
                          <w:sz w:val="28"/>
                          <w:szCs w:val="28"/>
                          <w:lang w:val="en-US" w:eastAsia="zh-CN"/>
                        </w:rPr>
                      </w:pPr>
                      <w:r>
                        <w:rPr>
                          <w:rFonts w:ascii="仿宋_GB2312" w:eastAsia="仿宋_GB2312" w:cs="DengXian-Regular" w:hint="eastAsia"/>
                          <w:sz w:val="28"/>
                          <w:szCs w:val="28"/>
                        </w:rPr>
                        <w:t>图</w:t>
                      </w:r>
                      <w:r>
                        <w:rPr>
                          <w:rFonts w:ascii="仿宋_GB2312" w:eastAsia="仿宋_GB2312" w:cs="DengXian-Regular" w:hint="eastAsia"/>
                          <w:sz w:val="28"/>
                          <w:szCs w:val="28"/>
                          <w:lang w:val="en-US" w:eastAsia="zh-CN"/>
                        </w:rPr>
                        <w:t>5</w:t>
                      </w:r>
                      <w:r>
                        <w:rPr>
                          <w:rFonts w:ascii="仿宋_GB2312" w:eastAsia="仿宋_GB2312" w:cs="DengXian-Regular" w:hint="eastAsia"/>
                          <w:sz w:val="28"/>
                          <w:szCs w:val="28"/>
                        </w:rPr>
                        <w:t>：</w:t>
                      </w:r>
                      <w:r>
                        <w:rPr>
                          <w:rFonts w:ascii="仿宋_GB2312" w:eastAsia="仿宋_GB2312" w:cs="DengXian-Regular" w:hint="eastAsia"/>
                          <w:sz w:val="28"/>
                          <w:szCs w:val="28"/>
                          <w:lang w:val="en-US" w:eastAsia="zh-CN"/>
                        </w:rPr>
                        <w:t>财政拨款支出决算结构（按功能分类）</w:t>
                      </w:r>
                    </w:p>
                    <w:p>
                      <w:pPr>
                        <w:spacing w:after="160" w:line="480" w:lineRule="auto"/>
                        <w:rPr>
                          <w:rFonts w:ascii="Times New Roman" w:eastAsia="宋体" w:cs="Times New Roman" w:hAnsi="Times New Roman"/>
                          <w:sz w:val="20"/>
                          <w:szCs w:val="22"/>
                        </w:rPr>
                      </w:pPr>
                    </w:p>
                  </w:txbxContent>
                </v:textbox>
              </v:shape>
            </w:pict>
          </mc:Fallback>
        </mc:AlternateContent>
      </w:r>
    </w:p>
    <w:p>
      <w:pPr>
        <w:keepNext w:val="0"/>
        <w:keepLines w:val="0"/>
        <w:pageBreakBefore w:val="0"/>
        <w:widowControl w:val="0"/>
        <w:kinsoku/>
        <w:wordWrap/>
        <w:overflowPunct/>
        <w:topLinePunct w:val="0"/>
        <w:autoSpaceDE/>
        <w:autoSpaceDN/>
        <w:bidi w:val="0"/>
        <w:adjustRightInd w:val="0"/>
        <w:snapToGrid w:val="0"/>
        <w:spacing w:line="580" w:lineRule="exact"/>
        <w:ind w:leftChars="200" w:left="420" w:right="0"/>
        <w:textAlignment w:val="auto"/>
        <w:rPr>
          <w:rFonts w:ascii="楷体_GB2312" w:eastAsia="楷体_GB2312" w:cs="DengXian-Bold" w:hint="eastAsia"/>
          <w:b/>
          <w:bCs/>
          <w:sz w:val="32"/>
          <w:szCs w:val="32"/>
          <w:lang w:val="en-US" w:eastAsia="zh-CN"/>
        </w:rPr>
      </w:pPr>
      <w:r>
        <w:rPr>
          <w:rFonts w:ascii="楷体_GB2312" w:eastAsia="楷体_GB2312" w:cs="DengXian-Bold" w:hint="eastAsia"/>
          <w:b/>
          <w:bCs/>
          <w:sz w:val="32"/>
          <w:szCs w:val="32"/>
          <w:lang w:val="en-US" w:eastAsia="zh-CN"/>
        </w:rPr>
        <w:t>（四）一般公共预算基本支出决算情况说明</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b w:val="0"/>
          <w:bCs w:val="0"/>
          <w:kern w:val="2"/>
          <w:sz w:val="32"/>
          <w:szCs w:val="32"/>
          <w:lang w:val="en-US" w:eastAsia="zh-CN" w:bidi="ar-SA"/>
        </w:rPr>
      </w:pPr>
      <w:r>
        <w:rPr>
          <w:rFonts w:ascii="仿宋_GB2312" w:eastAsia="仿宋_GB2312" w:cs="DengXian-Regular" w:hint="eastAsia"/>
          <w:b w:val="0"/>
          <w:bCs w:val="0"/>
          <w:kern w:val="2"/>
          <w:sz w:val="32"/>
          <w:szCs w:val="32"/>
          <w:lang w:val="en-US" w:eastAsia="zh-CN" w:bidi="ar-SA"/>
        </w:rPr>
        <w:t>2019 年度财政拨款基本支出431.18万元，其中：人员经费 402.07万元，主要包括基本工资、津贴补贴、奖金、绩效工资、机关事业单位基本养老保险缴费、职业年金缴费、职工基本医疗保险缴费、公务员医疗补助缴费、其他社会保障缴费、住房公积金、退休费、生活补助、奖励金；公用经费29.11万元，主要包括办公费、邮电费、差旅费、劳务费、工会经费、福利费、其他商品和服务支出、办公设备购置。</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hint="eastAsia"/>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五、一般公共预算“三公” 经费支出决算情况说明</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r>
        <w:rPr>
          <w:rFonts w:ascii="仿宋_GB2312" w:eastAsia="仿宋_GB2312" w:cs="DengXian-Regular" w:hint="eastAsia"/>
          <w:sz w:val="32"/>
          <w:szCs w:val="32"/>
          <w:lang w:bidi="ar-SA"/>
        </w:rPr>
        <w:t>年度“三公”经费支出共计</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万元，较年初预算无变化；较201</w:t>
      </w:r>
      <w:r>
        <w:rPr>
          <w:rFonts w:ascii="仿宋_GB2312" w:eastAsia="仿宋_GB2312" w:cs="DengXian-Regular"/>
          <w:sz w:val="32"/>
          <w:szCs w:val="32"/>
          <w:lang w:bidi="ar-SA"/>
        </w:rPr>
        <w:t>8</w:t>
      </w:r>
      <w:r>
        <w:rPr>
          <w:rFonts w:ascii="仿宋_GB2312" w:eastAsia="仿宋_GB2312" w:cs="DengXian-Regular" w:hint="eastAsia"/>
          <w:sz w:val="32"/>
          <w:szCs w:val="32"/>
          <w:lang w:bidi="ar-SA"/>
        </w:rPr>
        <w:t>年度无变化。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楷体_GB2312" w:eastAsia="楷体_GB2312" w:cs="DengXian-Bold" w:hint="eastAsia"/>
          <w:b/>
          <w:bCs/>
          <w:sz w:val="32"/>
          <w:szCs w:val="32"/>
          <w:lang w:bidi="ar-SA"/>
        </w:rPr>
        <w:t>（</w:t>
      </w:r>
      <w:r>
        <w:rPr>
          <w:sz w:val="44"/>
        </w:rPr>
        <mc:AlternateContent>
          <mc:Choice Requires="wps">
            <w:drawing>
              <wp:anchor distT="0" distB="0" distL="0" distR="0" simplePos="0" relativeHeight="133" behindDoc="0" locked="1" layoutInCell="1" hidden="0" allowOverlap="1">
                <wp:simplePos x="0" y="0"/>
                <wp:positionH relativeFrom="page">
                  <wp:posOffset>-6350</wp:posOffset>
                </wp:positionH>
                <wp:positionV relativeFrom="page">
                  <wp:posOffset>372110</wp:posOffset>
                </wp:positionV>
                <wp:extent cx="3832860" cy="558165"/>
                <wp:effectExtent l="0" t="0" r="0" b="0"/>
                <wp:wrapNone/>
                <wp:docPr id="111" name="组合"/>
                <wp:cNvGraphicFramePr>
                  <a:graphicFrameLocks noChangeAspect="0"/>
                </wp:cNvGraphicFramePr>
                <a:graphic>
                  <a:graphicData uri="http://schemas.microsoft.com/office/word/2010/wordprocessingGroup">
                    <wpg:wgp>
                      <wpg:cNvPr id="112" name="组合 112"/>
                      <wpg:cNvGrpSpPr/>
                      <wpg:grpSpPr>
                        <a:xfrm rot="0">
                          <a:off x="0" y="0"/>
                          <a:ext cx="3832860" cy="558165"/>
                          <a:chOff x="0" y="0"/>
                          <a:chExt cx="3832860" cy="558165"/>
                        </a:xfrm>
                        <a:prstGeom prst="rect"/>
                        <a:solidFill>
                          <a:srgbClr val="FFFFFF"/>
                        </a:solidFill>
                        <a:ln w="9525" cmpd="sng" cap="flat">
                          <a:solidFill>
                            <a:srgbClr val="000000"/>
                          </a:solidFill>
                          <a:prstDash val="solid"/>
                          <a:miter/>
                        </a:ln>
                      </wpg:grpSpPr>
                      <wps:wsp>
                        <wps:cNvPr id="113" name="1104 113"/>
                        <wps:cNvSpPr/>
                        <wps:spPr>
                          <a:xfrm rot="0">
                            <a:off x="0" y="0"/>
                            <a:ext cx="3832860" cy="468630"/>
                          </a:xfrm>
                          <a:prstGeom prst="rect"/>
                          <a:solidFill>
                            <a:srgbClr val="D8D8D8"/>
                          </a:solidFill>
                          <a:ln w="25400" cmpd="sng" cap="flat">
                            <a:noFill/>
                            <a:prstDash val="solid"/>
                            <a:miter/>
                          </a:ln>
                        </wps:spPr>
                        <wps:bodyPr vert="horz" wrap="square" lIns="91440" tIns="45720" rIns="91440" bIns="45720" anchor="t" anchorCtr="0" upright="1">
                          <a:noAutofit/>
                        </wps:bodyPr>
                      </wps:wsp>
                      <wps:wsp>
                        <wps:cNvPr id="114" name="1105 114"/>
                        <wps:cNvSpPr/>
                        <wps:spPr>
                          <a:xfrm rot="0">
                            <a:off x="10795" y="109220"/>
                            <a:ext cx="3733800" cy="448945"/>
                          </a:xfrm>
                          <a:prstGeom prst="rect"/>
                          <a:solidFill>
                            <a:srgbClr val="AD002D"/>
                          </a:solidFill>
                          <a:ln w="25400" cmpd="sng" cap="flat">
                            <a:solidFill>
                              <a:srgbClr val="AF7621"/>
                            </a:solidFill>
                            <a:prstDash val="solid"/>
                            <a:miter/>
                          </a:ln>
                        </wps:spPr>
                        <wps:txbx id="115">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wps:txbx>
                        <wps:bodyPr vert="horz" wrap="square" lIns="91440" tIns="45720" rIns="91440" bIns="45720" anchor="t" anchorCtr="0" upright="1">
                          <a:noAutofit/>
                        </wps:bodyPr>
                      </wps:wsp>
                      <wps:bodyPr vert="horz" wrap="square" lIns="91440" tIns="45720" rIns="91440" bIns="45720" anchor="t" anchorCtr="0" upright="1">
                        <a:noAutofit/>
                      </wps:bodyPr>
                    </wpg:wgp>
                  </a:graphicData>
                </a:graphic>
              </wp:anchor>
            </w:drawing>
          </mc:Choice>
          <mc:Fallback>
            <w:pict>
              <v:group type="#_x0000_t1" id="组合 116" o:spid="_x0000_s116" coordorigin="-10,585" coordsize="6036,879" style="position:absolute;margin-left:-0.5pt;margin-top:29.3pt;width:301.80002pt;height:43.95pt;z-index:133;mso-position-horizontal:absolute;mso-position-horizontal-relative:page;mso-position-vertical:absolute;mso-position-vertical-relative:page;mso-wrap-distance-left:0.0pt;mso-wrap-distance-right:0.0pt;">
                <v:rect type="#_x0000_t1" id="_s117" o:spid="_x0000_s117" style="position:absolute;left:-10;top:585;width:6036;height:738;" fillcolor="#D8D8D8" stroked="f" strokeweight="2.0pt">
                  <v:stroke color="#000000"/>
                </v:rect>
                <v:rect type="#_x0000_t1" id="_s118" o:spid="_x0000_s118" style="position:absolute;left:7;top:758;width:5880;height:706;mso-wrap-style:square;" fillcolor="#AD002D" stroked="t" strokeweight="2.0pt">
                  <v:textbox id="877" inset="2.54mm,1.27mm,2.54mm,1.27mm" o:insetmode="custom" style="layout-flow:horizontal;v-text-anchor:top;">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v:textbox>
                  <v:stroke color="#AF7621"/>
                </v:rect>
                <w10:anchorLock/>
              </v:group>
            </w:pict>
          </mc:Fallback>
        </mc:AlternateContent>
      </w:r>
      <w:r>
        <w:rPr>
          <w:rFonts w:ascii="楷体_GB2312" w:eastAsia="楷体_GB2312" w:cs="DengXian-Bold" w:hint="eastAsia"/>
          <w:b/>
          <w:bCs/>
          <w:sz w:val="32"/>
          <w:szCs w:val="32"/>
          <w:lang w:bidi="ar-SA"/>
        </w:rPr>
        <w:t>一）因公出国（境）费支出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r>
        <w:rPr>
          <w:rFonts w:ascii="仿宋_GB2312" w:eastAsia="仿宋_GB2312" w:cs="DengXian-Regular" w:hint="eastAsia"/>
          <w:sz w:val="32"/>
          <w:szCs w:val="32"/>
          <w:lang w:bidi="ar-SA"/>
        </w:rPr>
        <w:t>年度无本单位组织的出国（境）团组</w:t>
      </w:r>
      <w:r>
        <w:rPr>
          <w:rFonts w:ascii="仿宋_GB2312" w:eastAsia="仿宋_GB2312" w:cs="DengXian-Regular" w:hint="eastAsia"/>
          <w:sz w:val="32"/>
          <w:szCs w:val="32"/>
          <w:lang w:bidi="ar-SA"/>
        </w:rPr>
        <w:t>,较年初预算无变化，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adjustRightInd w:val="0"/>
        <w:snapToGrid w:val="0"/>
        <w:spacing w:after="0" w:line="580" w:lineRule="exact"/>
        <w:ind w:firstLineChars="200" w:firstLine="640"/>
        <w:rPr>
          <w:rFonts w:ascii="仿宋_GB2312" w:eastAsia="仿宋_GB2312" w:cs="DengXian-Bold" w:hint="eastAsia"/>
          <w:b/>
          <w:bCs/>
          <w:sz w:val="32"/>
          <w:szCs w:val="32"/>
          <w:lang w:bidi="ar-SA"/>
        </w:rPr>
      </w:pPr>
      <w:r>
        <w:rPr>
          <w:rFonts w:ascii="楷体_GB2312" w:eastAsia="楷体_GB2312" w:cs="DengXian-Bold" w:hint="eastAsia"/>
          <w:b/>
          <w:bCs/>
          <w:sz w:val="32"/>
          <w:szCs w:val="32"/>
          <w:lang w:bidi="ar-SA"/>
        </w:rPr>
        <w:t>（二）公务用车购置及运行维护费支出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r>
        <w:rPr>
          <w:rFonts w:ascii="仿宋_GB2312" w:eastAsia="仿宋_GB2312" w:cs="DengXian-Regular" w:hint="eastAsia"/>
          <w:sz w:val="32"/>
          <w:szCs w:val="32"/>
          <w:lang w:bidi="ar-SA"/>
        </w:rPr>
        <w:t>年度公务用车购置及运行维护费较年初预算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仿宋_GB2312" w:eastAsia="仿宋_GB2312" w:cs="DengXian-Regular" w:hint="eastAsia"/>
          <w:b/>
          <w:sz w:val="32"/>
          <w:szCs w:val="32"/>
          <w:lang w:bidi="ar-SA"/>
        </w:rPr>
        <w:t>公务用车购置费：</w:t>
      </w: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r>
        <w:rPr>
          <w:rFonts w:ascii="仿宋_GB2312" w:eastAsia="仿宋_GB2312" w:cs="DengXian-Regular" w:hint="eastAsia"/>
          <w:sz w:val="32"/>
          <w:szCs w:val="32"/>
          <w:lang w:bidi="ar-SA"/>
        </w:rPr>
        <w:t>年度公务用车购置量</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辆，发生“公务用车购置”经费支出</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万元。公务用车购置费支出较年初预算</w:t>
      </w:r>
      <w:r>
        <w:rPr>
          <w:rFonts w:ascii="仿宋_GB2312" w:eastAsia="仿宋_GB2312" w:cs="DengXian-Regular" w:hint="eastAsia"/>
          <w:sz w:val="32"/>
          <w:szCs w:val="32"/>
          <w:lang w:bidi="ar-SA"/>
        </w:rPr>
        <w:t>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仿宋_GB2312" w:eastAsia="仿宋_GB2312" w:cs="DengXian-Regular" w:hint="eastAsia"/>
          <w:b/>
          <w:sz w:val="32"/>
          <w:szCs w:val="32"/>
          <w:lang w:bidi="ar-SA"/>
        </w:rPr>
        <w:t>公务用车运行维护费：</w:t>
      </w: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r>
        <w:rPr>
          <w:rFonts w:ascii="仿宋_GB2312" w:eastAsia="仿宋_GB2312" w:cs="DengXian-Regular" w:hint="eastAsia"/>
          <w:sz w:val="32"/>
          <w:szCs w:val="32"/>
          <w:lang w:bidi="ar-SA"/>
        </w:rPr>
        <w:t>年度单位公务用车保有量</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辆。公车运行维护费支出较年初预算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adjustRightInd w:val="0"/>
        <w:snapToGrid w:val="0"/>
        <w:spacing w:after="0" w:line="580" w:lineRule="exact"/>
        <w:ind w:firstLineChars="200" w:firstLine="640"/>
        <w:rPr>
          <w:rFonts w:ascii="黑体" w:eastAsia="黑体" w:hint="eastAsia"/>
          <w:sz w:val="32"/>
          <w:szCs w:val="40"/>
        </w:rPr>
      </w:pPr>
      <w:r>
        <w:rPr>
          <w:rFonts w:ascii="楷体_GB2312" w:eastAsia="楷体_GB2312" w:cs="DengXian-Bold" w:hint="eastAsia"/>
          <w:b/>
          <w:bCs/>
          <w:sz w:val="32"/>
          <w:szCs w:val="32"/>
          <w:lang w:bidi="ar-SA"/>
        </w:rPr>
        <w:t>（三）公务接待费支出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sz w:val="44"/>
        </w:rPr>
        <mc:AlternateContent>
          <mc:Choice Requires="wps">
            <w:drawing>
              <wp:anchor distT="0" distB="0" distL="0" distR="0" simplePos="0" relativeHeight="135" behindDoc="0" locked="1" layoutInCell="1" hidden="0" allowOverlap="1">
                <wp:simplePos x="0" y="0"/>
                <wp:positionH relativeFrom="page">
                  <wp:posOffset>-6350</wp:posOffset>
                </wp:positionH>
                <wp:positionV relativeFrom="page">
                  <wp:posOffset>372110</wp:posOffset>
                </wp:positionV>
                <wp:extent cx="3832860" cy="558165"/>
                <wp:effectExtent l="0" t="0" r="0" b="0"/>
                <wp:wrapNone/>
                <wp:docPr id="119" name="组合"/>
                <wp:cNvGraphicFramePr>
                  <a:graphicFrameLocks noChangeAspect="0"/>
                </wp:cNvGraphicFramePr>
                <a:graphic>
                  <a:graphicData uri="http://schemas.microsoft.com/office/word/2010/wordprocessingGroup">
                    <wpg:wgp>
                      <wpg:cNvPr id="120" name="组合 120"/>
                      <wpg:cNvGrpSpPr/>
                      <wpg:grpSpPr>
                        <a:xfrm rot="0">
                          <a:off x="0" y="0"/>
                          <a:ext cx="3832860" cy="558165"/>
                          <a:chOff x="0" y="0"/>
                          <a:chExt cx="3832860" cy="558165"/>
                        </a:xfrm>
                        <a:prstGeom prst="rect"/>
                        <a:solidFill>
                          <a:srgbClr val="FFFFFF"/>
                        </a:solidFill>
                        <a:ln w="9525" cmpd="sng" cap="flat">
                          <a:solidFill>
                            <a:srgbClr val="000000"/>
                          </a:solidFill>
                          <a:prstDash val="solid"/>
                          <a:miter/>
                        </a:ln>
                      </wpg:grpSpPr>
                      <wps:wsp>
                        <wps:cNvPr id="121" name="1107 121"/>
                        <wps:cNvSpPr/>
                        <wps:spPr>
                          <a:xfrm rot="0">
                            <a:off x="0" y="0"/>
                            <a:ext cx="3832860" cy="468630"/>
                          </a:xfrm>
                          <a:prstGeom prst="rect"/>
                          <a:solidFill>
                            <a:srgbClr val="D8D8D8"/>
                          </a:solidFill>
                          <a:ln w="25400" cmpd="sng" cap="flat">
                            <a:noFill/>
                            <a:prstDash val="solid"/>
                            <a:miter/>
                          </a:ln>
                        </wps:spPr>
                        <wps:bodyPr vert="horz" wrap="square" lIns="91440" tIns="45720" rIns="91440" bIns="45720" anchor="t" anchorCtr="0" upright="1">
                          <a:noAutofit/>
                        </wps:bodyPr>
                      </wps:wsp>
                      <wps:wsp>
                        <wps:cNvPr id="122" name="1108 122"/>
                        <wps:cNvSpPr/>
                        <wps:spPr>
                          <a:xfrm rot="0">
                            <a:off x="10795" y="109220"/>
                            <a:ext cx="3733800" cy="448945"/>
                          </a:xfrm>
                          <a:prstGeom prst="rect"/>
                          <a:solidFill>
                            <a:srgbClr val="AD002D"/>
                          </a:solidFill>
                          <a:ln w="25400" cmpd="sng" cap="flat">
                            <a:solidFill>
                              <a:srgbClr val="AF7621"/>
                            </a:solidFill>
                            <a:prstDash val="solid"/>
                            <a:miter/>
                          </a:ln>
                        </wps:spPr>
                        <wps:txbx id="123">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wps:txbx>
                        <wps:bodyPr vert="horz" wrap="square" lIns="91440" tIns="45720" rIns="91440" bIns="45720" anchor="t" anchorCtr="0" upright="1">
                          <a:noAutofit/>
                        </wps:bodyPr>
                      </wps:wsp>
                      <wps:bodyPr vert="horz" wrap="square" lIns="91440" tIns="45720" rIns="91440" bIns="45720" anchor="t" anchorCtr="0" upright="1">
                        <a:noAutofit/>
                      </wps:bodyPr>
                    </wpg:wgp>
                  </a:graphicData>
                </a:graphic>
              </wp:anchor>
            </w:drawing>
          </mc:Choice>
          <mc:Fallback>
            <w:pict>
              <v:group type="#_x0000_t1" id="组合 124" o:spid="_x0000_s124" coordorigin="-10,585" coordsize="6036,879" style="position:absolute;margin-left:-0.5pt;margin-top:29.3pt;width:301.80002pt;height:43.95pt;z-index:135;mso-position-horizontal:absolute;mso-position-horizontal-relative:page;mso-position-vertical:absolute;mso-position-vertical-relative:page;mso-wrap-distance-left:0.0pt;mso-wrap-distance-right:0.0pt;">
                <v:rect type="#_x0000_t1" id="_s125" o:spid="_x0000_s125" style="position:absolute;left:-10;top:585;width:6036;height:738;" fillcolor="#D8D8D8" stroked="f" strokeweight="2.0pt">
                  <v:stroke color="#000000"/>
                </v:rect>
                <v:rect type="#_x0000_t1" id="_s126" o:spid="_x0000_s126" style="position:absolute;left:7;top:758;width:5880;height:706;mso-wrap-style:square;" fillcolor="#AD002D" stroked="t" strokeweight="2.0pt">
                  <v:textbox id="878" inset="2.54mm,1.27mm,2.54mm,1.27mm" o:insetmode="custom" style="layout-flow:horizontal;v-text-anchor:top;">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v:textbox>
                  <v:stroke color="#AF7621"/>
                </v:rect>
                <w10:anchorLock/>
              </v:group>
            </w:pict>
          </mc:Fallback>
        </mc:AlternateContent>
      </w:r>
      <w:r>
        <w:rPr>
          <w:rFonts w:ascii="仿宋_GB2312" w:eastAsia="仿宋_GB2312" w:cs="DengXian-Regular" w:hint="eastAsia"/>
          <w:sz w:val="32"/>
          <w:szCs w:val="32"/>
          <w:lang w:bidi="ar-SA"/>
        </w:rPr>
        <w:t>本部门201</w:t>
      </w:r>
      <w:r>
        <w:rPr>
          <w:rFonts w:ascii="仿宋_GB2312" w:eastAsia="仿宋_GB2312" w:cs="DengXian-Regular"/>
          <w:sz w:val="32"/>
          <w:szCs w:val="32"/>
          <w:lang w:bidi="ar-SA"/>
        </w:rPr>
        <w:t>9</w:t>
      </w:r>
      <w:bookmarkStart w:id="0" w:name="_GoBack"/>
      <w:bookmarkEnd w:id="0"/>
      <w:r>
        <w:rPr>
          <w:rFonts w:ascii="仿宋_GB2312" w:eastAsia="仿宋_GB2312" w:cs="DengXian-Regular" w:hint="eastAsia"/>
          <w:sz w:val="32"/>
          <w:szCs w:val="32"/>
          <w:lang w:bidi="ar-SA"/>
        </w:rPr>
        <w:t>年度公务接待共</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批次、</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人次。公务接待费支出较年初预算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；较上年度</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keepNext w:val="0"/>
        <w:keepLines w:val="0"/>
        <w:pageBreakBefore w:val="0"/>
        <w:widowControl w:val="0"/>
        <w:kinsoku/>
        <w:wordWrap/>
        <w:overflowPunct/>
        <w:topLinePunct w:val="0"/>
        <w:autoSpaceDE/>
        <w:autoSpaceDN/>
        <w:bidi w:val="0"/>
        <w:adjustRightInd w:val="0"/>
        <w:snapToGrid w:val="0"/>
        <w:spacing w:line="580" w:lineRule="exact"/>
        <w:ind w:left="0" w:right="0" w:firstLineChars="200" w:firstLine="640"/>
        <w:jc w:val="both"/>
        <w:textAlignment w:val="auto"/>
        <w:outlineLvl w:val="9"/>
        <w:rPr>
          <w:rFonts w:ascii="黑体" w:eastAsia="黑体" w:cs="Times New Roman" w:hint="eastAsia"/>
          <w:b w:val="0"/>
          <w:bCs w:val="0"/>
          <w:sz w:val="32"/>
          <w:szCs w:val="40"/>
        </w:rPr>
      </w:pPr>
      <w:r>
        <w:rPr>
          <w:rFonts w:ascii="黑体" w:eastAsia="黑体" w:cs="Times New Roman" w:hint="eastAsia"/>
          <w:b w:val="0"/>
          <w:bCs w:val="0"/>
          <w:sz w:val="32"/>
          <w:szCs w:val="40"/>
        </w:rPr>
        <w:t>六、预算绩效情况说明</w:t>
      </w:r>
    </w:p>
    <w:p>
      <w:pPr>
        <w:keepNext w:val="0"/>
        <w:keepLines w:val="0"/>
        <w:pageBreakBefore w:val="0"/>
        <w:widowControl w:val="0"/>
        <w:kinsoku/>
        <w:wordWrap/>
        <w:overflowPunct/>
        <w:topLinePunct w:val="0"/>
        <w:autoSpaceDE/>
        <w:autoSpaceDN/>
        <w:bidi w:val="0"/>
        <w:adjustRightInd w:val="0"/>
        <w:snapToGrid w:val="0"/>
        <w:spacing w:line="580" w:lineRule="exact"/>
        <w:ind w:left="0" w:right="0" w:firstLineChars="200" w:firstLine="640"/>
        <w:jc w:val="both"/>
        <w:textAlignment w:val="auto"/>
        <w:outlineLvl w:val="9"/>
        <w:rPr>
          <w:rFonts w:ascii="仿宋_GB2312" w:eastAsia="仿宋_GB2312" w:cs="仿宋_GB2312" w:hint="eastAsia"/>
          <w:b/>
          <w:bCs/>
          <w:kern w:val="2"/>
          <w:sz w:val="32"/>
          <w:szCs w:val="32"/>
          <w:lang w:val="en-US" w:eastAsia="zh-CN" w:bidi="ar-SA"/>
        </w:rPr>
      </w:pPr>
      <w:r>
        <w:rPr>
          <w:rFonts w:ascii="仿宋_GB2312" w:eastAsia="仿宋_GB2312" w:cs="仿宋_GB2312" w:hint="eastAsia"/>
          <w:b/>
          <w:bCs/>
          <w:kern w:val="2"/>
          <w:sz w:val="32"/>
          <w:szCs w:val="32"/>
          <w:lang w:val="en-US" w:eastAsia="zh-CN" w:bidi="ar-SA"/>
        </w:rPr>
        <w:t>1. 预算绩效管理工作开展情况。</w:t>
      </w:r>
    </w:p>
    <w:p>
      <w:pPr>
        <w:rPr>
          <w:rFonts w:ascii="仿宋_GB2312" w:eastAsia="仿宋_GB2312" w:cs="仿宋_GB2312"/>
          <w:sz w:val="32"/>
          <w:szCs w:val="32"/>
        </w:rPr>
      </w:pPr>
      <w:r>
        <w:rPr>
          <w:rFonts w:ascii="仿宋_GB2312" w:eastAsia="仿宋_GB2312" w:cs="仿宋_GB2312" w:hint="eastAsia"/>
          <w:b w:val="0"/>
          <w:bCs w:val="0"/>
          <w:kern w:val="2"/>
          <w:sz w:val="32"/>
          <w:szCs w:val="32"/>
          <w:lang w:val="en-US" w:eastAsia="zh-CN" w:bidi="ar-SA"/>
        </w:rPr>
        <w:t>根据预算绩效管理要求，本部门组织对2019年度一般公共预算项目支出全面开展绩效自评，其中，一级项目5个，共涉及资金52.3万元，占一般公共预算项目支出总额的100</w:t>
      </w:r>
      <w:r>
        <w:rPr>
          <w:rFonts w:ascii="仿宋_GB2312" w:eastAsia="仿宋_GB2312" w:cs="仿宋_GB2312" w:hint="eastAsia"/>
          <w:sz w:val="32"/>
          <w:szCs w:val="32"/>
        </w:rPr>
        <w:t>%</w:t>
      </w:r>
      <w:r>
        <w:rPr>
          <w:rFonts w:ascii="仿宋_GB2312" w:eastAsia="仿宋_GB2312" w:cs="仿宋_GB2312" w:hint="eastAsia"/>
          <w:b w:val="0"/>
          <w:bCs w:val="0"/>
          <w:kern w:val="2"/>
          <w:sz w:val="32"/>
          <w:szCs w:val="32"/>
          <w:lang w:val="en-US" w:eastAsia="zh-CN" w:bidi="ar-SA"/>
        </w:rPr>
        <w:t>。组织对“提前下达2019年中央补助地方美术馆、公共图书馆、文化馆（站）免费开放专项资金（唐财教［2018］66号）”“群众文化活动经费（免费开放）”等5个项目开展了部门评价，涉及一般公共预算支出52.3万元。从评价情况来看，</w:t>
      </w:r>
      <w:r>
        <w:rPr>
          <w:rFonts w:ascii="仿宋_GB2312" w:eastAsia="仿宋_GB2312" w:cs="仿宋_GB2312" w:hint="eastAsia"/>
          <w:sz w:val="32"/>
          <w:szCs w:val="32"/>
        </w:rPr>
        <w:t>2019年，我单位按照相关文件及上级工作要求，强化监督指导，</w:t>
      </w:r>
      <w:r>
        <w:rPr>
          <w:rFonts w:ascii="仿宋" w:eastAsia="仿宋" w:hint="eastAsia"/>
          <w:sz w:val="32"/>
          <w:szCs w:val="32"/>
        </w:rPr>
        <w:t>所有项目的日常管理工作均按照我单位相关管理制度执行，建立了工作有计划、实施有方案、日常有监督的管理机制，工作取得了较好的成效，效能得到了提高、获得了社会公众的好评。</w:t>
      </w:r>
    </w:p>
    <w:p>
      <w:pPr>
        <w:keepNext w:val="0"/>
        <w:keepLines w:val="0"/>
        <w:pageBreakBefore w:val="0"/>
        <w:widowControl w:val="0"/>
        <w:kinsoku/>
        <w:wordWrap/>
        <w:overflowPunct/>
        <w:topLinePunct w:val="0"/>
        <w:autoSpaceDE/>
        <w:autoSpaceDN/>
        <w:bidi w:val="0"/>
        <w:adjustRightInd w:val="0"/>
        <w:snapToGrid w:val="0"/>
        <w:spacing w:line="580" w:lineRule="exact"/>
        <w:ind w:leftChars="200" w:left="420" w:right="0" w:firstLineChars="100" w:firstLine="320"/>
        <w:jc w:val="both"/>
        <w:textAlignment w:val="auto"/>
        <w:outlineLvl w:val="9"/>
        <w:rPr>
          <w:rFonts w:ascii="仿宋_GB2312" w:eastAsia="仿宋_GB2312" w:cs="仿宋_GB2312" w:hint="eastAsia"/>
          <w:b/>
          <w:bCs/>
          <w:kern w:val="2"/>
          <w:sz w:val="32"/>
          <w:szCs w:val="32"/>
          <w:lang w:val="en-US" w:eastAsia="zh-CN" w:bidi="ar-SA"/>
        </w:rPr>
      </w:pPr>
      <w:r>
        <w:rPr>
          <w:rFonts w:ascii="仿宋_GB2312" w:eastAsia="仿宋_GB2312" w:cs="仿宋_GB2312" w:hint="eastAsia"/>
          <w:b/>
          <w:bCs/>
          <w:kern w:val="2"/>
          <w:sz w:val="32"/>
          <w:szCs w:val="32"/>
          <w:lang w:val="en-US" w:eastAsia="zh-CN" w:bidi="ar-SA"/>
        </w:rPr>
        <w:t>2. 部门决算中项目绩效自评结果。</w:t>
      </w:r>
    </w:p>
    <w:p>
      <w:pPr>
        <w:adjustRightInd w:val="0"/>
        <w:snapToGrid w:val="0"/>
        <w:spacing w:line="58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本部门在今年部门决算公开中反映</w:t>
      </w:r>
      <w:r>
        <w:rPr>
          <w:rFonts w:ascii="仿宋_GB2312" w:eastAsia="仿宋_GB2312" w:cs="仿宋_GB2312" w:hint="eastAsia"/>
          <w:b w:val="0"/>
          <w:bCs w:val="0"/>
          <w:kern w:val="2"/>
          <w:sz w:val="32"/>
          <w:szCs w:val="32"/>
          <w:lang w:val="en-US" w:eastAsia="zh-CN" w:bidi="ar-SA"/>
        </w:rPr>
        <w:t>“提前下达2019年中央补助地方美术馆、公共图书馆、文化馆（站）免费开放专项资金（唐财教［2018］66号）”及“群众文化活动经费（免费开放）”</w:t>
      </w:r>
      <w:r>
        <w:rPr>
          <w:rFonts w:ascii="仿宋_GB2312" w:eastAsia="仿宋_GB2312" w:cs="仿宋_GB2312" w:hint="eastAsia"/>
          <w:sz w:val="32"/>
          <w:szCs w:val="32"/>
        </w:rPr>
        <w:t>项目等</w:t>
      </w:r>
      <w:r>
        <w:rPr>
          <w:rFonts w:ascii="仿宋_GB2312" w:eastAsia="仿宋_GB2312" w:cs="仿宋_GB2312" w:hint="eastAsia"/>
          <w:sz w:val="32"/>
          <w:szCs w:val="32"/>
          <w:lang w:val="en-US" w:eastAsia="zh-CN"/>
        </w:rPr>
        <w:t>5</w:t>
      </w:r>
      <w:r>
        <w:rPr>
          <w:rFonts w:ascii="仿宋_GB2312" w:eastAsia="仿宋_GB2312" w:cs="仿宋_GB2312" w:hint="eastAsia"/>
          <w:sz w:val="32"/>
          <w:szCs w:val="32"/>
        </w:rPr>
        <w:t>个项目绩效自评结果。</w:t>
      </w:r>
    </w:p>
    <w:p>
      <w:pPr>
        <w:spacing w:line="579" w:lineRule="exact"/>
        <w:ind w:firstLineChars="200" w:firstLine="640"/>
        <w:rPr>
          <w:rFonts w:ascii="仿宋_GB2312" w:eastAsia="仿宋_GB2312" w:cs="仿宋_GB2312"/>
          <w:sz w:val="32"/>
          <w:szCs w:val="32"/>
          <w:highlight w:val="auto"/>
        </w:rPr>
      </w:pPr>
      <w:r>
        <w:rPr>
          <w:rFonts w:ascii="仿宋_GB2312" w:eastAsia="仿宋_GB2312" w:cs="仿宋_GB2312" w:hint="eastAsia"/>
          <w:sz w:val="32"/>
          <w:szCs w:val="32"/>
          <w:lang w:val="en-US" w:eastAsia="zh-CN"/>
          <w:highlight w:val="auto"/>
        </w:rPr>
        <w:t>5个</w:t>
      </w:r>
      <w:r>
        <w:rPr>
          <w:rFonts w:ascii="仿宋_GB2312" w:eastAsia="仿宋_GB2312" w:cs="仿宋_GB2312" w:hint="eastAsia"/>
          <w:sz w:val="32"/>
          <w:szCs w:val="32"/>
          <w:highlight w:val="auto"/>
        </w:rPr>
        <w:t>项目自评综述：根据年初设定的绩效目标，</w:t>
      </w:r>
      <w:r>
        <w:rPr>
          <w:rFonts w:ascii="仿宋_GB2312" w:eastAsia="仿宋_GB2312" w:cs="仿宋_GB2312" w:hint="eastAsia"/>
          <w:sz w:val="32"/>
          <w:szCs w:val="32"/>
          <w:lang w:val="en-US" w:eastAsia="zh-CN"/>
          <w:highlight w:val="auto"/>
        </w:rPr>
        <w:t>5</w:t>
      </w:r>
      <w:r>
        <w:rPr>
          <w:rFonts w:ascii="仿宋_GB2312" w:eastAsia="仿宋_GB2312" w:cs="仿宋_GB2312" w:hint="eastAsia"/>
          <w:sz w:val="32"/>
          <w:szCs w:val="32"/>
          <w:highlight w:val="auto"/>
        </w:rPr>
        <w:t>个项目绩效自评得分</w:t>
      </w:r>
      <w:r>
        <w:rPr>
          <w:rFonts w:ascii="仿宋_GB2312" w:eastAsia="仿宋_GB2312" w:cs="仿宋_GB2312" w:hint="eastAsia"/>
          <w:sz w:val="32"/>
          <w:szCs w:val="32"/>
          <w:lang w:eastAsia="zh-CN"/>
          <w:highlight w:val="auto"/>
        </w:rPr>
        <w:t>为</w:t>
      </w:r>
      <w:r>
        <w:rPr>
          <w:rFonts w:ascii="仿宋_GB2312" w:eastAsia="仿宋_GB2312" w:cs="仿宋_GB2312" w:hint="eastAsia"/>
          <w:sz w:val="32"/>
          <w:szCs w:val="32"/>
          <w:lang w:val="en-US" w:eastAsia="zh-CN"/>
          <w:highlight w:val="auto"/>
        </w:rPr>
        <w:t>100分</w:t>
      </w:r>
      <w:r>
        <w:rPr>
          <w:rFonts w:ascii="仿宋_GB2312" w:eastAsia="仿宋_GB2312" w:cs="仿宋_GB2312" w:hint="eastAsia"/>
          <w:b w:val="0"/>
          <w:bCs w:val="0"/>
          <w:kern w:val="2"/>
          <w:sz w:val="32"/>
          <w:szCs w:val="32"/>
          <w:lang w:val="en-US" w:eastAsia="zh-CN" w:bidi="ar-SA"/>
        </w:rPr>
        <w:t>（绩效自评表附后）</w:t>
      </w:r>
      <w:r>
        <w:rPr>
          <w:rFonts w:ascii="仿宋_GB2312" w:eastAsia="仿宋_GB2312" w:cs="仿宋_GB2312" w:hint="eastAsia"/>
          <w:sz w:val="32"/>
          <w:szCs w:val="32"/>
          <w:highlight w:val="auto"/>
        </w:rPr>
        <w:t>。全年预算数为</w:t>
      </w:r>
      <w:r>
        <w:rPr>
          <w:rFonts w:ascii="仿宋_GB2312" w:eastAsia="仿宋_GB2312" w:cs="仿宋_GB2312" w:hint="eastAsia"/>
          <w:sz w:val="32"/>
          <w:szCs w:val="32"/>
          <w:lang w:val="en-US" w:eastAsia="zh-CN"/>
          <w:highlight w:val="auto"/>
        </w:rPr>
        <w:t>52.3</w:t>
      </w:r>
      <w:r>
        <w:rPr>
          <w:rFonts w:ascii="仿宋_GB2312" w:eastAsia="仿宋_GB2312" w:cs="仿宋_GB2312" w:hint="eastAsia"/>
          <w:sz w:val="32"/>
          <w:szCs w:val="32"/>
          <w:highlight w:val="auto"/>
        </w:rPr>
        <w:t>万元，执行数为</w:t>
      </w:r>
      <w:r>
        <w:rPr>
          <w:rFonts w:ascii="仿宋_GB2312" w:eastAsia="仿宋_GB2312" w:cs="仿宋_GB2312" w:hint="eastAsia"/>
          <w:sz w:val="32"/>
          <w:szCs w:val="32"/>
          <w:lang w:val="en-US" w:eastAsia="zh-CN"/>
          <w:highlight w:val="auto"/>
        </w:rPr>
        <w:t>52.3</w:t>
      </w:r>
      <w:r>
        <w:rPr>
          <w:rFonts w:ascii="仿宋_GB2312" w:eastAsia="仿宋_GB2312" w:cs="仿宋_GB2312" w:hint="eastAsia"/>
          <w:sz w:val="32"/>
          <w:szCs w:val="32"/>
          <w:highlight w:val="auto"/>
        </w:rPr>
        <w:t>万元，完成预算的100%。</w:t>
      </w:r>
      <w:r>
        <w:rPr>
          <w:rFonts w:ascii="仿宋_GB2312" w:eastAsia="仿宋_GB2312" w:cs="仿宋_GB2312" w:hint="eastAsia"/>
          <w:b w:val="0"/>
          <w:bCs w:val="0"/>
          <w:kern w:val="2"/>
          <w:sz w:val="32"/>
          <w:szCs w:val="32"/>
          <w:lang w:val="en-US" w:eastAsia="zh-CN" w:bidi="ar-SA"/>
        </w:rPr>
        <w:t>项目绩效目标完成情况：一是2019年度配合纪念中华人民共和国成立70周年，相继举办各类群众性书画展览、群众展演、培训、讲座等活动近百场，举办宣传展示14场次，营造爱国氛围，参与群众达20万人次，凝聚了人心，起到积极引导作用；二是组织书画、摄影、器乐、走秀、戏曲等培训达40场次，特别针对未成年人开展各类辅导，普及推广文化，让更多群众广泛参与。发现的主要问题及原因：一是按照财政支出绩效管理的要求，建立科学的财政资金效益考评制度体系，不断提高财政资金使用管理的水平和效率，提高绩效目标质量；二是群众参与活动热情高涨，迫于资金受限，好多活动不能进行。下一步改进措施：一是网络利用率有待进一步提高；二是群众文化活动中心自建成至今设备老化，致使暖气不能正常使用；且门窗腐蚀，需要更换；参与活动人次多，需要安装监控设施，以便更好管理。</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1"/>
        <w:rPr>
          <w:rFonts w:ascii="黑体" w:eastAsia="黑体" w:cs="Times New Roman"/>
          <w:b w:val="0"/>
          <w:bCs w:val="0"/>
          <w:kern w:val="2"/>
          <w:sz w:val="32"/>
          <w:szCs w:val="32"/>
          <w:lang w:val="en-US" w:eastAsia="zh-CN" w:bidi="ar-SA"/>
        </w:rPr>
      </w:pPr>
      <w:r>
        <w:rPr>
          <w:rFonts w:ascii="黑体" w:eastAsia="黑体" w:cs="Times New Roman" w:hint="eastAsia"/>
          <w:b w:val="0"/>
          <w:bCs w:val="0"/>
          <w:kern w:val="2"/>
          <w:sz w:val="32"/>
          <w:szCs w:val="32"/>
          <w:lang w:val="en-US" w:eastAsia="zh-CN" w:bidi="ar-SA"/>
        </w:rPr>
        <w:t>七、其他重要事项的说明</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2"/>
        <w:rPr>
          <w:rFonts w:ascii="楷体_GB2312" w:eastAsia="楷体_GB2312" w:cs="DengXian-Bold"/>
          <w:b/>
          <w:bCs/>
          <w:kern w:val="2"/>
          <w:sz w:val="32"/>
          <w:szCs w:val="32"/>
          <w:lang w:val="en-US" w:eastAsia="zh-CN" w:bidi="ar-SA"/>
        </w:rPr>
      </w:pPr>
      <w:r>
        <w:rPr>
          <w:rFonts w:ascii="楷体_GB2312" w:eastAsia="楷体_GB2312" w:cs="DengXian-Bold" w:hint="eastAsia"/>
          <w:b/>
          <w:bCs/>
          <w:kern w:val="2"/>
          <w:sz w:val="32"/>
          <w:szCs w:val="32"/>
          <w:lang w:val="en-US" w:eastAsia="zh-CN" w:bidi="ar-SA"/>
        </w:rPr>
        <w:t>（一）机关运行经费情况</w:t>
      </w:r>
    </w:p>
    <w:p>
      <w:pPr>
        <w:keepNext/>
        <w:keepLines/>
        <w:pageBreakBefore w:val="0"/>
        <w:widowControl w:val="0"/>
        <w:kinsoku/>
        <w:wordWrap/>
        <w:overflowPunct/>
        <w:topLinePunct w:val="0"/>
        <w:autoSpaceDE/>
        <w:autoSpaceDN/>
        <w:bidi w:val="0"/>
        <w:adjustRightInd/>
        <w:snapToGrid w:val="0"/>
        <w:spacing w:line="580" w:lineRule="exact"/>
        <w:ind w:left="0" w:right="0" w:firstLineChars="200" w:firstLine="640"/>
        <w:jc w:val="both"/>
        <w:textAlignment w:val="auto"/>
        <w:outlineLvl w:val="2"/>
        <w:rPr>
          <w:rFonts w:ascii="仿宋_GB2312" w:eastAsia="仿宋_GB2312" w:cs="DengXian-Regular" w:hint="eastAsia"/>
          <w:sz w:val="32"/>
          <w:szCs w:val="32"/>
          <w:lang w:eastAsia="zh-CN"/>
        </w:rPr>
      </w:pPr>
      <w:r>
        <w:rPr>
          <w:rFonts w:ascii="仿宋_GB2312" w:eastAsia="仿宋_GB2312" w:cs="DengXian-Regular" w:hint="eastAsia"/>
          <w:sz w:val="32"/>
          <w:szCs w:val="32"/>
          <w:lang w:eastAsia="zh-CN"/>
        </w:rPr>
        <w:t>丰南区文化馆为全额拨款事业单位，对照机关运行经费概念，没有此项支出。</w:t>
      </w:r>
    </w:p>
    <w:p>
      <w:pPr>
        <w:keepNext/>
        <w:keepLines/>
        <w:pageBreakBefore w:val="0"/>
        <w:widowControl w:val="0"/>
        <w:kinsoku/>
        <w:wordWrap/>
        <w:overflowPunct/>
        <w:topLinePunct w:val="0"/>
        <w:autoSpaceDE/>
        <w:autoSpaceDN/>
        <w:bidi w:val="0"/>
        <w:adjustRightInd/>
        <w:snapToGrid w:val="0"/>
        <w:spacing w:line="580" w:lineRule="exact"/>
        <w:ind w:left="0" w:right="0" w:firstLineChars="200" w:firstLine="640"/>
        <w:jc w:val="both"/>
        <w:textAlignment w:val="auto"/>
        <w:outlineLvl w:val="2"/>
        <w:rPr>
          <w:rFonts w:ascii="楷体_GB2312" w:eastAsia="楷体_GB2312" w:cs="DengXian-Bold"/>
          <w:b/>
          <w:bCs/>
          <w:kern w:val="2"/>
          <w:sz w:val="32"/>
          <w:szCs w:val="32"/>
          <w:lang w:val="en-US" w:eastAsia="zh-CN" w:bidi="ar-SA"/>
        </w:rPr>
      </w:pPr>
      <w:r>
        <w:rPr>
          <w:rFonts w:ascii="楷体_GB2312" w:eastAsia="楷体_GB2312" w:cs="DengXian-Bold" w:hint="eastAsia"/>
          <w:b/>
          <w:bCs/>
          <w:kern w:val="2"/>
          <w:sz w:val="32"/>
          <w:szCs w:val="32"/>
          <w:lang w:val="en-US" w:eastAsia="zh-CN" w:bidi="ar-SA"/>
        </w:rPr>
        <w:t>（二）政府采购情况</w:t>
      </w:r>
    </w:p>
    <w:p>
      <w:pPr>
        <w:keepNext w:val="0"/>
        <w:keepLines w:val="0"/>
        <w:pageBreakBefore w:val="0"/>
        <w:widowControl w:val="0"/>
        <w:suppressLineNumbers w:val="0"/>
        <w:kinsoku/>
        <w:wordWrap/>
        <w:overflowPunct/>
        <w:topLinePunct w:val="0"/>
        <w:autoSpaceDE/>
        <w:autoSpaceDN/>
        <w:bidi w:val="0"/>
        <w:adjustRightInd/>
        <w:snapToGrid w:val="0"/>
        <w:spacing w:line="580" w:lineRule="exact"/>
        <w:ind w:left="0" w:right="0" w:firstLineChars="200" w:firstLine="640"/>
        <w:jc w:val="left"/>
        <w:textAlignment w:val="auto"/>
        <w:rPr>
          <w:rFonts w:ascii="仿宋_GB2312" w:eastAsia="仿宋_GB2312" w:cs="DengXian-Regular"/>
          <w:sz w:val="32"/>
          <w:szCs w:val="32"/>
        </w:rPr>
      </w:pPr>
      <w:r>
        <w:rPr>
          <w:rFonts w:ascii="仿宋_GB2312" w:eastAsia="仿宋_GB2312" w:cs="DengXian-Regular" w:hint="eastAsia"/>
          <w:sz w:val="32"/>
          <w:szCs w:val="32"/>
        </w:rPr>
        <w:t>本部门</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度政府采购支出总额</w:t>
      </w:r>
      <w:r>
        <w:rPr>
          <w:rFonts w:ascii="仿宋_GB2312" w:eastAsia="仿宋_GB2312" w:cs="DengXian-Regular" w:hint="eastAsia"/>
          <w:sz w:val="32"/>
          <w:szCs w:val="32"/>
          <w:lang w:val="en-US" w:eastAsia="zh-CN"/>
        </w:rPr>
        <w:t>0</w:t>
      </w:r>
      <w:r>
        <w:rPr>
          <w:rFonts w:ascii="仿宋_GB2312" w:eastAsia="仿宋_GB2312" w:cs="DengXian-Regular" w:hint="eastAsia"/>
          <w:sz w:val="32"/>
          <w:szCs w:val="32"/>
        </w:rPr>
        <w:t>万元，</w:t>
      </w:r>
      <w:r>
        <w:rPr>
          <w:rFonts w:ascii="仿宋_GB2312" w:eastAsia="仿宋_GB2312" w:cs="DengXian-Regular" w:hint="eastAsia"/>
          <w:sz w:val="32"/>
          <w:szCs w:val="32"/>
          <w:lang w:val="en-US" w:eastAsia="zh-CN"/>
        </w:rPr>
        <w:t>从采购类型来看，</w:t>
      </w:r>
      <w:r>
        <w:rPr>
          <w:rFonts w:ascii="仿宋_GB2312" w:eastAsia="仿宋_GB2312" w:cs="仿宋_GB2312"/>
          <w:color w:val="000000"/>
          <w:kern w:val="0"/>
          <w:sz w:val="32"/>
          <w:szCs w:val="32"/>
          <w:lang w:val="en-US" w:eastAsia="zh-CN"/>
        </w:rPr>
        <w:t>政府采购货物支出</w:t>
      </w:r>
      <w:r>
        <w:rPr>
          <w:rFonts w:ascii="仿宋_GB2312" w:eastAsia="仿宋_GB2312" w:cs="仿宋_GB2312" w:hint="eastAsia"/>
          <w:color w:val="000000"/>
          <w:kern w:val="0"/>
          <w:sz w:val="32"/>
          <w:szCs w:val="32"/>
          <w:lang w:val="en-US" w:eastAsia="zh-CN"/>
        </w:rPr>
        <w:t>0</w:t>
      </w:r>
      <w:r>
        <w:rPr>
          <w:rFonts w:ascii="仿宋_GB2312" w:eastAsia="仿宋_GB2312" w:cs="仿宋_GB2312"/>
          <w:color w:val="000000"/>
          <w:kern w:val="0"/>
          <w:sz w:val="32"/>
          <w:szCs w:val="32"/>
          <w:lang w:val="en-US" w:eastAsia="zh-CN"/>
        </w:rPr>
        <w:t>万元、政府采购工程支出</w:t>
      </w:r>
      <w:r>
        <w:rPr>
          <w:rFonts w:ascii="仿宋_GB2312" w:eastAsia="仿宋_GB2312" w:cs="仿宋_GB2312" w:hint="eastAsia"/>
          <w:color w:val="000000"/>
          <w:kern w:val="0"/>
          <w:sz w:val="32"/>
          <w:szCs w:val="32"/>
          <w:lang w:val="en-US" w:eastAsia="zh-CN"/>
        </w:rPr>
        <w:t>0</w:t>
      </w:r>
      <w:r>
        <w:rPr>
          <w:rFonts w:ascii="仿宋_GB2312" w:eastAsia="仿宋_GB2312" w:cs="仿宋_GB2312"/>
          <w:color w:val="000000"/>
          <w:kern w:val="0"/>
          <w:sz w:val="32"/>
          <w:szCs w:val="32"/>
          <w:lang w:val="en-US" w:eastAsia="zh-CN"/>
        </w:rPr>
        <w:t>万元、政府采购服务支出</w:t>
      </w:r>
      <w:r>
        <w:rPr>
          <w:rFonts w:ascii="仿宋_GB2312" w:eastAsia="仿宋_GB2312" w:cs="仿宋_GB2312" w:hint="eastAsia"/>
          <w:color w:val="000000"/>
          <w:kern w:val="0"/>
          <w:sz w:val="32"/>
          <w:szCs w:val="32"/>
          <w:lang w:val="en-US" w:eastAsia="zh-CN"/>
        </w:rPr>
        <w:t>0</w:t>
      </w:r>
      <w:r>
        <w:rPr>
          <w:rFonts w:ascii="仿宋_GB2312" w:eastAsia="仿宋_GB2312" w:cs="仿宋_GB2312"/>
          <w:color w:val="000000"/>
          <w:kern w:val="0"/>
          <w:sz w:val="32"/>
          <w:szCs w:val="32"/>
          <w:lang w:val="en-US" w:eastAsia="zh-CN"/>
        </w:rPr>
        <w:t>万元。</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2"/>
        <w:rPr>
          <w:rFonts w:ascii="楷体_GB2312" w:eastAsia="楷体_GB2312" w:cs="DengXian-Bold"/>
          <w:b/>
          <w:bCs/>
          <w:kern w:val="2"/>
          <w:sz w:val="32"/>
          <w:szCs w:val="32"/>
          <w:lang w:val="en-US" w:eastAsia="zh-CN" w:bidi="ar-SA"/>
        </w:rPr>
      </w:pPr>
      <w:r>
        <w:rPr>
          <w:rFonts w:ascii="楷体_GB2312" w:eastAsia="楷体_GB2312" w:cs="DengXian-Bold" w:hint="eastAsia"/>
          <w:b/>
          <w:bCs/>
          <w:kern w:val="2"/>
          <w:sz w:val="32"/>
          <w:szCs w:val="32"/>
          <w:lang w:val="en-US" w:eastAsia="zh-CN" w:bidi="ar-SA"/>
        </w:rPr>
        <w:t>（三）国有资产占用情况</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hint="eastAsia"/>
          <w:sz w:val="32"/>
          <w:szCs w:val="32"/>
        </w:rPr>
      </w:pPr>
      <w:r>
        <w:rPr>
          <w:rFonts w:ascii="仿宋_GB2312" w:eastAsia="仿宋_GB2312" w:cs="DengXian-Regular" w:hint="eastAsia"/>
          <w:sz w:val="32"/>
          <w:szCs w:val="32"/>
        </w:rPr>
        <w:t>截至</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12月31日，本部门共有车辆</w:t>
      </w:r>
      <w:r>
        <w:rPr>
          <w:rFonts w:ascii="仿宋_GB2312" w:eastAsia="仿宋_GB2312" w:cs="DengXian-Regular" w:hint="eastAsia"/>
          <w:sz w:val="32"/>
          <w:szCs w:val="32"/>
          <w:lang w:val="en-US" w:eastAsia="zh-CN"/>
        </w:rPr>
        <w:t>0</w:t>
      </w:r>
      <w:r>
        <w:rPr>
          <w:rFonts w:ascii="仿宋_GB2312" w:eastAsia="仿宋_GB2312" w:cs="DengXian-Regular" w:hint="eastAsia"/>
          <w:sz w:val="32"/>
          <w:szCs w:val="32"/>
        </w:rPr>
        <w:t>辆，</w:t>
      </w:r>
      <w:r>
        <w:rPr>
          <w:rFonts w:ascii="仿宋_GB2312" w:eastAsia="仿宋_GB2312" w:cs="DengXian-Regular" w:hint="eastAsia"/>
          <w:sz w:val="32"/>
          <w:szCs w:val="32"/>
          <w:lang w:val="en-US" w:eastAsia="zh-CN"/>
        </w:rPr>
        <w:t>比上年无增减变化。</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楷体_GB2312" w:eastAsia="楷体_GB2312" w:cs="DengXian-Bold" w:hint="eastAsia"/>
          <w:b/>
          <w:bCs/>
          <w:kern w:val="2"/>
          <w:sz w:val="32"/>
          <w:szCs w:val="32"/>
          <w:lang w:val="en-US" w:eastAsia="zh-CN" w:bidi="ar-SA"/>
        </w:rPr>
      </w:pPr>
      <w:r>
        <w:rPr>
          <w:rFonts w:ascii="仿宋_GB2312" w:eastAsia="仿宋_GB2312" w:cs="DengXian-Regular" w:hint="eastAsia"/>
          <w:sz w:val="32"/>
          <w:szCs w:val="32"/>
        </w:rPr>
        <w:t>单位价值</w:t>
      </w:r>
      <w:r>
        <w:rPr>
          <w:rFonts w:ascii="仿宋_GB2312" w:eastAsia="仿宋_GB2312" w:cs="TimesNewRomanPSMT" w:hint="eastAsia"/>
          <w:sz w:val="32"/>
          <w:szCs w:val="32"/>
        </w:rPr>
        <w:t>50</w:t>
      </w:r>
      <w:r>
        <w:rPr>
          <w:rFonts w:ascii="仿宋_GB2312" w:eastAsia="仿宋_GB2312" w:cs="DengXian-Regular" w:hint="eastAsia"/>
          <w:sz w:val="32"/>
          <w:szCs w:val="32"/>
        </w:rPr>
        <w:t>万元以上</w:t>
      </w:r>
      <w:r>
        <w:rPr>
          <w:rFonts w:ascii="仿宋_GB2312" w:eastAsia="仿宋_GB2312" w:cs="DengXian-Regular" w:hint="eastAsia"/>
          <w:sz w:val="32"/>
          <w:szCs w:val="32"/>
          <w:lang w:val="en-US" w:eastAsia="zh-CN"/>
        </w:rPr>
        <w:t>通用</w:t>
      </w:r>
      <w:r>
        <w:rPr>
          <w:rFonts w:ascii="仿宋_GB2312" w:eastAsia="仿宋_GB2312" w:cs="DengXian-Regular" w:hint="eastAsia"/>
          <w:sz w:val="32"/>
          <w:szCs w:val="32"/>
        </w:rPr>
        <w:t>设备</w:t>
      </w:r>
      <w:r>
        <w:rPr>
          <w:rFonts w:ascii="仿宋_GB2312" w:eastAsia="仿宋_GB2312" w:cs="DengXian-Regular" w:hint="eastAsia"/>
          <w:sz w:val="32"/>
          <w:szCs w:val="32"/>
          <w:lang w:val="en-US" w:eastAsia="zh-CN"/>
        </w:rPr>
        <w:t>0</w:t>
      </w:r>
      <w:r>
        <w:rPr>
          <w:rFonts w:ascii="仿宋_GB2312" w:eastAsia="仿宋_GB2312" w:cs="DengXian-Regular" w:hint="eastAsia"/>
          <w:sz w:val="32"/>
          <w:szCs w:val="32"/>
        </w:rPr>
        <w:t>台（套），</w:t>
      </w:r>
      <w:r>
        <w:rPr>
          <w:rFonts w:ascii="仿宋_GB2312" w:eastAsia="仿宋_GB2312" w:cs="DengXian-Regular" w:hint="eastAsia"/>
          <w:sz w:val="32"/>
          <w:szCs w:val="32"/>
          <w:lang w:eastAsia="zh-CN"/>
        </w:rPr>
        <w:t>与上年数据相比无变化</w:t>
      </w:r>
      <w:r>
        <w:rPr>
          <w:rFonts w:ascii="仿宋_GB2312" w:eastAsia="仿宋_GB2312" w:cs="DengXian-Regular" w:hint="eastAsia"/>
          <w:sz w:val="32"/>
          <w:szCs w:val="32"/>
          <w:lang w:val="en-US" w:eastAsia="zh-CN"/>
        </w:rPr>
        <w:t xml:space="preserve"> ，</w:t>
      </w:r>
      <w:r>
        <w:rPr>
          <w:rFonts w:ascii="仿宋_GB2312" w:eastAsia="仿宋_GB2312" w:cs="DengXian-Regular" w:hint="eastAsia"/>
          <w:sz w:val="32"/>
          <w:szCs w:val="32"/>
        </w:rPr>
        <w:t>单位价值</w:t>
      </w:r>
      <w:r>
        <w:rPr>
          <w:rFonts w:ascii="仿宋_GB2312" w:eastAsia="仿宋_GB2312" w:cs="TimesNewRomanPSMT" w:hint="eastAsia"/>
          <w:sz w:val="32"/>
          <w:szCs w:val="32"/>
        </w:rPr>
        <w:t>100</w:t>
      </w:r>
      <w:r>
        <w:rPr>
          <w:rFonts w:ascii="仿宋_GB2312" w:eastAsia="仿宋_GB2312" w:cs="DengXian-Regular" w:hint="eastAsia"/>
          <w:sz w:val="32"/>
          <w:szCs w:val="32"/>
        </w:rPr>
        <w:t>万元以上</w:t>
      </w:r>
      <w:r>
        <w:rPr>
          <w:rFonts w:ascii="仿宋_GB2312" w:eastAsia="仿宋_GB2312" w:cs="DengXian-Regular" w:hint="eastAsia"/>
          <w:sz w:val="32"/>
          <w:szCs w:val="32"/>
          <w:lang w:val="en-US" w:eastAsia="zh-CN"/>
        </w:rPr>
        <w:t>专用</w:t>
      </w:r>
      <w:r>
        <w:rPr>
          <w:rFonts w:ascii="仿宋_GB2312" w:eastAsia="仿宋_GB2312" w:cs="DengXian-Regular" w:hint="eastAsia"/>
          <w:sz w:val="32"/>
          <w:szCs w:val="32"/>
        </w:rPr>
        <w:t>设备</w:t>
      </w:r>
      <w:r>
        <w:rPr>
          <w:rFonts w:ascii="仿宋_GB2312" w:eastAsia="仿宋_GB2312" w:cs="DengXian-Regular" w:hint="eastAsia"/>
          <w:sz w:val="32"/>
          <w:szCs w:val="32"/>
          <w:lang w:val="en-US" w:eastAsia="zh-CN"/>
        </w:rPr>
        <w:t>0</w:t>
      </w:r>
      <w:r>
        <w:rPr>
          <w:rFonts w:ascii="仿宋_GB2312" w:eastAsia="仿宋_GB2312" w:cs="DengXian-Regular" w:hint="eastAsia"/>
          <w:sz w:val="32"/>
          <w:szCs w:val="32"/>
        </w:rPr>
        <w:t>台（套）</w:t>
      </w:r>
      <w:r>
        <w:rPr>
          <w:rFonts w:ascii="仿宋_GB2312" w:eastAsia="仿宋_GB2312" w:cs="DengXian-Regular" w:hint="eastAsia"/>
          <w:sz w:val="32"/>
          <w:szCs w:val="32"/>
          <w:lang w:eastAsia="zh-CN"/>
        </w:rPr>
        <w:t>，与上年数据相比无变化</w:t>
      </w:r>
      <w:r>
        <w:rPr>
          <w:rFonts w:ascii="仿宋_GB2312" w:eastAsia="仿宋_GB2312" w:cs="DengXian-Regular" w:hint="eastAsia"/>
          <w:sz w:val="32"/>
          <w:szCs w:val="32"/>
        </w:rPr>
        <w:t>。</w:t>
      </w:r>
    </w:p>
    <w:p>
      <w:pPr>
        <w:keepNext/>
        <w:keepLines/>
        <w:pageBreakBefore w:val="0"/>
        <w:widowControl w:val="0"/>
        <w:kinsoku/>
        <w:wordWrap/>
        <w:overflowPunct/>
        <w:topLinePunct w:val="0"/>
        <w:autoSpaceDE/>
        <w:autoSpaceDN/>
        <w:bidi w:val="0"/>
        <w:snapToGrid w:val="0"/>
        <w:spacing w:line="580" w:lineRule="exact"/>
        <w:ind w:right="0" w:firstLineChars="200" w:firstLine="640"/>
        <w:jc w:val="both"/>
        <w:textAlignment w:val="auto"/>
        <w:outlineLvl w:val="2"/>
        <w:rPr>
          <w:rFonts w:ascii="楷体_GB2312" w:eastAsia="楷体_GB2312" w:cs="DengXian-Bold"/>
          <w:b/>
          <w:bCs/>
          <w:kern w:val="2"/>
          <w:sz w:val="32"/>
          <w:szCs w:val="32"/>
          <w:lang w:val="en-US" w:eastAsia="zh-CN" w:bidi="ar-SA"/>
        </w:rPr>
      </w:pPr>
      <w:r>
        <w:rPr>
          <w:rFonts w:ascii="楷体_GB2312" w:eastAsia="楷体_GB2312" w:cs="DengXian-Bold" w:hint="eastAsia"/>
          <w:b/>
          <w:bCs/>
          <w:kern w:val="2"/>
          <w:sz w:val="32"/>
          <w:szCs w:val="32"/>
          <w:lang w:val="en-US" w:eastAsia="zh-CN" w:bidi="ar-SA"/>
        </w:rPr>
        <w:t>（四）其他需要说明的情况</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sz w:val="32"/>
          <w:szCs w:val="32"/>
        </w:rPr>
      </w:pPr>
      <w:r>
        <w:rPr>
          <w:rFonts w:ascii="仿宋_GB2312" w:eastAsia="仿宋_GB2312" w:cs="DengXian-Regular" w:hint="eastAsia"/>
          <w:sz w:val="32"/>
          <w:szCs w:val="32"/>
        </w:rPr>
        <w:t>1</w:t>
      </w:r>
      <w:r>
        <w:rPr>
          <w:rFonts w:ascii="仿宋_GB2312" w:eastAsia="仿宋_GB2312" w:cs="DengXian-Regular" w:hint="eastAsia"/>
          <w:sz w:val="32"/>
          <w:szCs w:val="32"/>
          <w:lang w:eastAsia="zh-CN"/>
        </w:rPr>
        <w:t>.</w:t>
      </w:r>
      <w:r>
        <w:rPr>
          <w:rFonts w:ascii="仿宋_GB2312" w:eastAsia="仿宋_GB2312" w:cs="DengXian-Regular" w:hint="eastAsia"/>
          <w:sz w:val="32"/>
          <w:szCs w:val="32"/>
          <w:lang w:val="en-US" w:eastAsia="zh-CN"/>
        </w:rPr>
        <w:t xml:space="preserve"> </w:t>
      </w:r>
      <w:r>
        <w:rPr>
          <w:rFonts w:ascii="仿宋_GB2312" w:eastAsia="仿宋_GB2312" w:cs="DengXian-Regular" w:hint="eastAsia"/>
          <w:sz w:val="32"/>
          <w:szCs w:val="32"/>
        </w:rPr>
        <w:t>本部门</w:t>
      </w:r>
      <w:r>
        <w:rPr>
          <w:rFonts w:ascii="仿宋_GB2312" w:eastAsia="仿宋_GB2312" w:cs="DengXian-Regular" w:hint="eastAsia"/>
          <w:sz w:val="32"/>
          <w:szCs w:val="32"/>
          <w:lang w:eastAsia="zh-CN"/>
        </w:rPr>
        <w:t>2019年</w:t>
      </w:r>
      <w:r>
        <w:rPr>
          <w:rFonts w:ascii="仿宋_GB2312" w:eastAsia="仿宋_GB2312" w:cs="DengXian-Regular" w:hint="eastAsia"/>
          <w:sz w:val="32"/>
          <w:szCs w:val="32"/>
        </w:rPr>
        <w:t>度</w:t>
      </w:r>
      <w:r>
        <w:rPr>
          <w:rFonts w:ascii="仿宋_GB2312" w:eastAsia="仿宋_GB2312" w:cs="DengXian-Regular" w:hint="eastAsia"/>
          <w:sz w:val="32"/>
          <w:szCs w:val="32"/>
          <w:lang w:eastAsia="zh-CN"/>
        </w:rPr>
        <w:t>未发生“三公”经费支出、政府性基金收入和支出、国有资本经营支出，故公开</w:t>
      </w:r>
      <w:r>
        <w:rPr>
          <w:rFonts w:ascii="仿宋_GB2312" w:eastAsia="仿宋_GB2312" w:cs="DengXian-Regular" w:hint="eastAsia"/>
          <w:sz w:val="32"/>
          <w:szCs w:val="32"/>
          <w:lang w:val="en-US" w:eastAsia="zh-CN"/>
        </w:rPr>
        <w:t>07-09表以空表列示</w:t>
      </w:r>
      <w:r>
        <w:rPr>
          <w:rFonts w:ascii="仿宋_GB2312" w:eastAsia="仿宋_GB2312" w:cs="DengXian-Regular" w:hint="eastAsia"/>
          <w:sz w:val="32"/>
          <w:szCs w:val="32"/>
        </w:rPr>
        <w:t>。</w:t>
      </w:r>
    </w:p>
    <w:p>
      <w:pPr>
        <w:pageBreakBefore w:val="0"/>
        <w:widowControl w:val="0"/>
        <w:kinsoku/>
        <w:wordWrap/>
        <w:overflowPunct/>
        <w:topLinePunct w:val="0"/>
        <w:autoSpaceDE/>
        <w:autoSpaceDN/>
        <w:bidi w:val="0"/>
        <w:adjustRightInd w:val="0"/>
        <w:snapToGrid w:val="0"/>
        <w:spacing w:line="580" w:lineRule="exact"/>
        <w:ind w:right="0" w:firstLineChars="200" w:firstLine="640"/>
        <w:textAlignment w:val="auto"/>
        <w:rPr>
          <w:rFonts w:ascii="仿宋_GB2312" w:eastAsia="仿宋_GB2312" w:cs="DengXian-Regular"/>
          <w:sz w:val="32"/>
          <w:szCs w:val="32"/>
        </w:rPr>
      </w:pPr>
      <w:r>
        <w:rPr>
          <w:rFonts w:ascii="仿宋_GB2312" w:eastAsia="仿宋_GB2312" w:cs="DengXian-Regular" w:hint="eastAsia"/>
          <w:sz w:val="32"/>
          <w:szCs w:val="32"/>
        </w:rPr>
        <w:t>2</w:t>
      </w:r>
      <w:r>
        <w:rPr>
          <w:rFonts w:ascii="仿宋_GB2312" w:eastAsia="仿宋_GB2312" w:cs="DengXian-Regular" w:hint="eastAsia"/>
          <w:sz w:val="32"/>
          <w:szCs w:val="32"/>
          <w:lang w:eastAsia="zh-CN"/>
        </w:rPr>
        <w:t>.</w:t>
      </w:r>
      <w:r>
        <w:rPr>
          <w:rFonts w:ascii="仿宋_GB2312" w:eastAsia="仿宋_GB2312" w:cs="DengXian-Regular" w:hint="eastAsia"/>
          <w:sz w:val="32"/>
          <w:szCs w:val="32"/>
          <w:lang w:val="en-US" w:eastAsia="zh-CN"/>
        </w:rPr>
        <w:t xml:space="preserve"> </w:t>
      </w:r>
      <w:r>
        <w:rPr>
          <w:rFonts w:ascii="仿宋_GB2312" w:eastAsia="仿宋_GB2312" w:cs="DengXian-Regular" w:hint="eastAsia"/>
          <w:sz w:val="32"/>
          <w:szCs w:val="32"/>
        </w:rPr>
        <w:t>由于决算公开表格中金额数值应当保留两位小数，公开数据为四舍五入计算结果，个别数据合计项与分项之和存在小数点后差额，特此说明。</w:t>
      </w:r>
    </w:p>
    <w:p>
      <w:pPr>
        <w:pageBreakBefore w:val="0"/>
        <w:widowControl/>
        <w:kinsoku/>
        <w:wordWrap/>
        <w:overflowPunct/>
        <w:topLinePunct w:val="0"/>
        <w:autoSpaceDE/>
        <w:autoSpaceDN/>
        <w:bidi w:val="0"/>
        <w:spacing w:after="0" w:line="580" w:lineRule="exact"/>
        <w:ind w:firstLineChars="200" w:firstLine="880"/>
        <w:jc w:val="left"/>
        <w:textAlignment w:val="auto"/>
        <w:rPr>
          <w:rFonts w:ascii="宋体" w:eastAsia="宋体" w:cs="MS-UIGothic,Bold"/>
          <w:b/>
          <w:bCs/>
          <w:kern w:val="0"/>
          <w:sz w:val="44"/>
          <w:szCs w:val="44"/>
        </w:rPr>
        <w:sectPr>
          <w:type w:val="continuous"/>
          <w:pgSz w:w="11906" w:h="16838"/>
          <w:pgMar w:top="2098" w:right="1474" w:bottom="1984" w:left="1588" w:header="851" w:footer="992" w:gutter="0"/>
          <w:pgNumType w:fmt="numberInDash"/>
          <w:rtlGutter/>
          <w:docGrid w:type="lines" w:linePitch="312" w:charSpace="0"/>
        </w:sect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sectPr>
          <w:type w:val="continuous"/>
          <w:pgSz w:w="11906" w:h="16838"/>
          <w:pgMar w:top="2041" w:right="1531" w:bottom="2041" w:left="1531" w:header="851" w:footer="992" w:gutter="0"/>
          <w:pgNumType w:fmt="numberInDash"/>
          <w:titlePg/>
          <w:rtlGutter/>
          <w:docGrid w:type="lines" w:linePitch="312" w:charSpace="0"/>
        </w:sectPr>
      </w:pPr>
    </w:p>
    <w:p>
      <w:pPr>
        <w:rPr>
          <w:rFonts w:ascii="黑体" w:eastAsia="黑体" w:cs="黑体"/>
          <w:sz w:val="56"/>
          <w:szCs w:val="72"/>
          <w:lang w:val="en-US" w:eastAsia="zh-CN"/>
        </w:rPr>
        <w:sectPr>
          <w:headerReference w:type="default" r:id="rId25"/>
          <w:headerReference w:type="first" r:id="rId26"/>
          <w:footerReference w:type="default" r:id="rId27"/>
          <w:footerReference w:type="first" r:id="rId28"/>
          <w:type w:val="continuous"/>
          <w:pgSz w:w="11906" w:h="16838"/>
          <w:pgMar w:top="2041" w:right="1531" w:bottom="2041" w:left="1531" w:header="851" w:footer="992" w:gutter="0"/>
          <w:pgNumType w:fmt="numberInDash"/>
          <w:titlePg/>
          <w:rtlGutter/>
          <w:docGrid w:type="lines" w:linePitch="312" w:charSpace="0"/>
        </w:sectPr>
      </w:pPr>
      <w:r>
        <w:rPr>
          <w:rFonts w:ascii="黑体" w:eastAsia="黑体" w:cs="黑体"/>
          <w:sz w:val="56"/>
          <w:szCs w:val="72"/>
          <w:lang w:val="en-US" w:eastAsia="zh-CN"/>
        </w:rPr>
        <w:br w:type="page"/>
      </w:r>
    </w:p>
    <w:p>
      <w:pP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rFonts w:ascii="黑体" w:eastAsia="黑体" w:cs="黑体"/>
          <w:sz w:val="56"/>
          <w:szCs w:val="72"/>
          <w:lang w:val="en-US" w:eastAsia="zh-CN"/>
        </w:rPr>
      </w:pPr>
    </w:p>
    <w:p>
      <w:pPr>
        <w:jc w:val="center"/>
        <w:rPr>
          <w:sz w:val="72"/>
        </w:rPr>
      </w:pPr>
      <w:r>
        <w:rPr>
          <w:sz w:val="72"/>
        </w:rPr>
        <mc:AlternateContent>
          <mc:Choice Requires="wps">
            <w:drawing>
              <wp:anchor distT="0" distB="0" distL="114298" distR="114298" simplePos="0" relativeHeight="91" behindDoc="0" locked="0" layoutInCell="1" hidden="0" allowOverlap="1">
                <wp:simplePos x="0" y="0"/>
                <wp:positionH relativeFrom="column">
                  <wp:posOffset>-1021715</wp:posOffset>
                </wp:positionH>
                <wp:positionV relativeFrom="paragraph">
                  <wp:posOffset>441960</wp:posOffset>
                </wp:positionV>
                <wp:extent cx="7793355" cy="3341370"/>
                <wp:effectExtent l="0" t="0" r="0" b="0"/>
                <wp:wrapNone/>
                <wp:docPr id="167" name="文本框 188"/>
                <wp:cNvGraphicFramePr>
                  <a:graphicFrameLocks noChangeAspect="0"/>
                </wp:cNvGraphicFramePr>
                <a:graphic>
                  <a:graphicData uri="http://schemas.microsoft.com/office/word/2010/wordprocessingShape">
                    <wps:wsp>
                      <wps:cNvSpPr/>
                      <wps:spPr>
                        <a:xfrm rot="0">
                          <a:off x="0" y="0"/>
                          <a:ext cx="7793355" cy="3341370"/>
                        </a:xfrm>
                        <a:prstGeom prst="rect"/>
                        <a:pattFill prst="pct5">
                          <a:fgClr>
                            <a:srgbClr val="FFD966"/>
                          </a:fgClr>
                          <a:bgClr>
                            <a:srgbClr val="FFFFFF"/>
                          </a:bgClr>
                        </a:pattFill>
                        <a:ln w="6350" cmpd="sng" cap="flat">
                          <a:solidFill>
                            <a:srgbClr val="FFD966"/>
                          </a:solidFill>
                          <a:prstDash val="solid"/>
                          <a:round/>
                        </a:ln>
                      </wps:spPr>
                      <wps:txbx id="168">
                        <w:txbxContent>
                          <w:p>
                            <w:pPr>
                              <w:widowControl/>
                              <w:jc w:val="center"/>
                              <w:rPr>
                                <w14:textOutline w14:w="9525" w14:cap="sq">
                                  <w14:solidFill>
                                    <w14:srgbClr w14:val="808080"/>
                                  </w14:solidFill>
                                  <w14:prstDash w14:val="solid"/>
                                  <w14:round/>
                                </w14:textOutline>
                                <w:lang w:val="en-US"/>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第三部分 相关名词解释</w:t>
                            </w:r>
                          </w:p>
                        </w:txbxContent>
                      </wps:txbx>
                      <wps:bodyPr vert="horz" wrap="square" lIns="91440" tIns="45720" rIns="91440" bIns="45720" anchor="ctr" anchorCtr="0" upright="0">
                        <a:noAutofit/>
                      </wps:bodyPr>
                    </wps:wsp>
                  </a:graphicData>
                </a:graphic>
              </wp:anchor>
            </w:drawing>
          </mc:Choice>
          <mc:Fallback>
            <w:pict>
              <v:shape type="#_x0000_t202" id="文本框 188 169" o:spid="_x0000_s169" fillcolor="#FFD966" stroked="t" strokeweight="0.5pt" style="position:absolute;margin-left:-80.45pt;margin-top:34.8pt;width:613.65pt;height:263.1pt;z-index:91;mso-position-horizontal:absolute;mso-position-vertical:absolute;mso-wrap-distance-left:8.999863pt;mso-wrap-distance-right:8.999863pt;mso-wrap-style:square;">
                <v:fill r:id="rId30" o:title="5%" color2="#FFFFFF" type="pattern"/>
                <v:stroke color="#FFD966"/>
                <v:textbox id="861" inset="2.54mm,1.27mm,2.54mm,1.27mm" o:insetmode="custom" style="layout-flow:horizontal;v-text-anchor:middle;">
                  <w:txbxContent>
                    <w:p>
                      <w:pPr>
                        <w:widowControl/>
                        <w:jc w:val="center"/>
                        <w:rPr>
                          <w14:textOutline w14:w="9525" w14:cap="sq">
                            <w14:solidFill>
                              <w14:srgbClr w14:val="808080"/>
                            </w14:solidFill>
                            <w14:prstDash w14:val="solid"/>
                            <w14:round/>
                          </w14:textOutline>
                          <w:lang w:val="en-US"/>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第三部分 相关名词解释</w:t>
                      </w:r>
                    </w:p>
                  </w:txbxContent>
                </v:textbox>
              </v:shape>
            </w:pict>
          </mc:Fallback>
        </mc:AlternateContent>
      </w:r>
    </w:p>
    <w:p>
      <w:pPr>
        <w:bidi w:val="0"/>
        <w:rPr>
          <w:rFonts w:ascii="等线" w:eastAsia="等线" w:cs="Arial"/>
          <w:kern w:val="2"/>
          <w:sz w:val="21"/>
          <w:szCs w:val="22"/>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886"/>
        </w:tabs>
        <w:bidi w:val="0"/>
        <w:jc w:val="left"/>
        <w:rPr>
          <w:rFonts w:hint="eastAsia"/>
          <w:lang w:val="en-US" w:eastAsia="zh-CN"/>
        </w:rPr>
        <w:sectPr>
          <w:headerReference w:type="first" r:id="rId29"/>
          <w:pgSz w:w="11906" w:h="16838"/>
          <w:pgMar w:top="2041" w:right="1531" w:bottom="2041" w:left="1531" w:header="851" w:footer="992" w:gutter="0"/>
          <w:pgNumType w:fmt="numberInDash"/>
          <w:titlePg/>
          <w:rtlGutter/>
          <w:docGrid w:type="lines" w:linePitch="312" w:charSpace="0"/>
        </w:sectPr>
      </w:pPr>
    </w:p>
    <w:p>
      <w:pPr>
        <w:rPr>
          <w:rFonts w:ascii="仿宋_GB2312" w:eastAsia="仿宋_GB2312" w:cs="ArialUnicodeMS" w:hint="eastAsia"/>
          <w:sz w:val="32"/>
          <w:szCs w:val="32"/>
          <w:highlight w:val="yellow"/>
        </w:rPr>
      </w:pPr>
      <w:r>
        <w:rPr>
          <w:rFonts w:ascii="仿宋_GB2312" w:eastAsia="仿宋_GB2312" w:cs="ArialUnicodeMS" w:hint="eastAsia"/>
          <w:sz w:val="32"/>
          <w:szCs w:val="32"/>
          <w:highlight w:val="yellow"/>
        </w:rPr>
        <w:br w:type="page"/>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（一）财政拨款收入：</w:t>
      </w:r>
      <w:r>
        <w:rPr>
          <w:rFonts w:ascii="仿宋_GB2312" w:eastAsia="仿宋_GB2312" w:cs="Times New Roman" w:hint="eastAsia"/>
          <w:color w:val="000000"/>
          <w:kern w:val="0"/>
          <w:sz w:val="32"/>
          <w:szCs w:val="32"/>
        </w:rPr>
        <w:t>本年度从本级财政部门取得的财政拨款，包括一般公共预算财政拨款和政府性基金预算财政拨款。</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（二）事业收入：</w:t>
      </w:r>
      <w:r>
        <w:rPr>
          <w:rFonts w:ascii="仿宋_GB2312" w:eastAsia="仿宋_GB2312" w:cs="Times New Roman" w:hint="eastAsia"/>
          <w:color w:val="000000"/>
          <w:kern w:val="0"/>
          <w:sz w:val="32"/>
          <w:szCs w:val="32"/>
        </w:rPr>
        <w:t>指事业单位开展专业业务活动及辅助活动所取得的收入。</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（三）其他收入：</w:t>
      </w:r>
      <w:r>
        <w:rPr>
          <w:rFonts w:ascii="仿宋_GB2312" w:eastAsia="仿宋_GB2312" w:cs="Times New Roman" w:hint="eastAsia"/>
          <w:color w:val="000000"/>
          <w:kern w:val="0"/>
          <w:sz w:val="32"/>
          <w:szCs w:val="32"/>
        </w:rPr>
        <w:t>指除上述“财政拨款收入”“事业收入”“经营收入”等以外的收入。</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（四）用事业基金弥补收支差额：</w:t>
      </w:r>
      <w:r>
        <w:rPr>
          <w:rFonts w:ascii="仿宋_GB2312" w:eastAsia="仿宋_GB2312" w:cs="Times New Roman" w:hint="eastAsia"/>
          <w:color w:val="000000"/>
          <w:kern w:val="0"/>
          <w:sz w:val="32"/>
          <w:szCs w:val="32"/>
        </w:rPr>
        <w:t>指事业单位在用当年的“财政拨款收入”“财政拨款结转和结余资金”“事业收入”“经营收入”“其他收入”不足以安排当年支出的情况下，使用以前年度积累的事业基金（事业单位当年收支相抵后按国家规定提取、用于弥补以后年度收支差额的基金）弥补本年度收支缺口的资金。</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（五）年初结转和结余：</w:t>
      </w:r>
      <w:r>
        <w:rPr>
          <w:rFonts w:ascii="仿宋_GB2312" w:eastAsia="仿宋_GB2312" w:cs="Times New Roman" w:hint="eastAsia"/>
          <w:color w:val="000000"/>
          <w:kern w:val="0"/>
          <w:sz w:val="32"/>
          <w:szCs w:val="32"/>
        </w:rPr>
        <w:t>指以前年度尚未完成、结转到本年仍按原规定用途继续使用的资金，或项目已完成等产生的结余资金。</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（六）结余分配：</w:t>
      </w:r>
      <w:r>
        <w:rPr>
          <w:rFonts w:ascii="仿宋_GB2312" w:eastAsia="仿宋_GB2312" w:cs="Times New Roman" w:hint="eastAsia"/>
          <w:color w:val="000000"/>
          <w:kern w:val="0"/>
          <w:sz w:val="32"/>
          <w:szCs w:val="32"/>
        </w:rPr>
        <w:t>指事业单位按照事业单位会计制度的规定从非财政补助结余中分配的事业基金和职工福利基金等。</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（七）年末结转和结余：</w:t>
      </w:r>
      <w:r>
        <w:rPr>
          <w:rFonts w:ascii="仿宋_GB2312" w:eastAsia="仿宋_GB2312" w:cs="Times New Roman" w:hint="eastAsia"/>
          <w:color w:val="000000"/>
          <w:kern w:val="0"/>
          <w:sz w:val="32"/>
          <w:szCs w:val="32"/>
        </w:rPr>
        <w:t>指单位按有关规定结转到下年或以后年度继续使用的资金，或项目已完成等产生的结余资金。</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（八）基本支出：</w:t>
      </w:r>
      <w:r>
        <w:rPr>
          <w:rFonts w:ascii="仿宋_GB2312" w:eastAsia="仿宋_GB2312" w:cs="Times New Roman" w:hint="eastAsia"/>
          <w:color w:val="000000"/>
          <w:kern w:val="0"/>
          <w:sz w:val="32"/>
          <w:szCs w:val="32"/>
        </w:rPr>
        <w:t>填列单位为保障机构正常运转、完成日常工作任务而发生的各项支出。</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（九）项目支出：</w:t>
      </w:r>
      <w:r>
        <w:rPr>
          <w:rFonts w:ascii="仿宋_GB2312" w:eastAsia="仿宋_GB2312" w:cs="Times New Roman" w:hint="eastAsia"/>
          <w:color w:val="000000"/>
          <w:kern w:val="0"/>
          <w:sz w:val="32"/>
          <w:szCs w:val="32"/>
        </w:rPr>
        <w:t>填列单位为完成特定的行政工作任务或事业发展目标，在基本支出之外发生的各项支出</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（十）基本建设支出：</w:t>
      </w:r>
      <w:r>
        <w:rPr>
          <w:rFonts w:ascii="仿宋_GB2312" w:eastAsia="仿宋_GB2312" w:cs="Times New Roman" w:hint="eastAsia"/>
          <w:color w:val="000000"/>
          <w:kern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（十一）其他资本性支出：</w:t>
      </w:r>
      <w:r>
        <w:rPr>
          <w:rFonts w:ascii="仿宋_GB2312" w:eastAsia="仿宋_GB2312" w:cs="Times New Roman" w:hint="eastAsia"/>
          <w:color w:val="000000"/>
          <w:kern w:val="0"/>
          <w:sz w:val="32"/>
          <w:szCs w:val="32"/>
        </w:rPr>
        <w:t>填列由各级非发展与改革部门集中安排的用于购置固定资产、战备性和应急性储备、土地和无形资产，以及购建基础设施、大型修缮和财政支持企业更新改造所发生的支出。</w:t>
      </w:r>
    </w:p>
    <w:p>
      <w:pPr>
        <w:keepNext w:val="0"/>
        <w:keepLines w:val="0"/>
        <w:pageBreakBefore w:val="0"/>
        <w:widowControl w:val="0"/>
        <w:kinsoku/>
        <w:wordWrap/>
        <w:overflowPunct/>
        <w:topLinePunct w:val="0"/>
        <w:autoSpaceDE/>
        <w:autoSpaceDN/>
        <w:bidi w:val="0"/>
        <w:adjustRightInd/>
        <w:snapToGrid w:val="0"/>
        <w:spacing w:line="560" w:lineRule="exact"/>
        <w:ind w:left="0" w:right="0" w:firstLineChars="200" w:firstLine="640"/>
        <w:jc w:val="both"/>
        <w:textAlignment w:val="auto"/>
        <w:outlineLvl w:val="9"/>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（十二）“三公”经费：</w:t>
      </w:r>
      <w:r>
        <w:rPr>
          <w:rFonts w:ascii="仿宋_GB2312" w:eastAsia="仿宋_GB2312" w:cs="Times New Roman" w:hint="eastAsia"/>
          <w:color w:val="000000"/>
          <w:kern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w:t>
      </w:r>
      <w:r>
        <w:rPr>
          <w:rFonts w:ascii="仿宋_GB2312" w:eastAsia="仿宋_GB2312" w:cs="Times New Roman" w:hint="eastAsia"/>
          <w:color w:val="000000"/>
          <w:kern w:val="0"/>
          <w:sz w:val="32"/>
          <w:szCs w:val="32"/>
          <w:lang w:eastAsia="zh-CN"/>
        </w:rPr>
        <w:t>、牌照费</w:t>
      </w:r>
      <w:r>
        <w:rPr>
          <w:rFonts w:ascii="仿宋_GB2312" w:eastAsia="仿宋_GB2312" w:cs="Times New Roman" w:hint="eastAsia"/>
          <w:color w:val="000000"/>
          <w:kern w:val="0"/>
          <w:sz w:val="32"/>
          <w:szCs w:val="32"/>
        </w:rPr>
        <w:t>）及</w:t>
      </w:r>
      <w:r>
        <w:rPr>
          <w:rFonts w:ascii="仿宋_GB2312" w:eastAsia="仿宋_GB2312" w:cs="Times New Roman" w:hint="eastAsia"/>
          <w:color w:val="000000"/>
          <w:kern w:val="0"/>
          <w:sz w:val="32"/>
          <w:szCs w:val="32"/>
          <w:lang w:eastAsia="zh-CN"/>
        </w:rPr>
        <w:t>按规定保留的公务用车燃料费、维修费、过桥过路费、保险费、安全奖励费用等支出</w:t>
      </w:r>
      <w:r>
        <w:rPr>
          <w:rFonts w:ascii="仿宋_GB2312" w:eastAsia="仿宋_GB2312" w:cs="Times New Roman" w:hint="eastAsia"/>
          <w:color w:val="000000"/>
          <w:kern w:val="0"/>
          <w:sz w:val="32"/>
          <w:szCs w:val="32"/>
        </w:rPr>
        <w:t>；公务接待费反映单位按规定开支的各类公务接待（含外宾接待）支出。</w:t>
      </w:r>
    </w:p>
    <w:p>
      <w:pPr>
        <w:keepNext w:val="0"/>
        <w:keepLines w:val="0"/>
        <w:pageBreakBefore w:val="0"/>
        <w:widowControl w:val="0"/>
        <w:kinsoku/>
        <w:wordWrap/>
        <w:overflowPunct/>
        <w:topLinePunct w:val="0"/>
        <w:autoSpaceDE/>
        <w:autoSpaceDN/>
        <w:bidi w:val="0"/>
        <w:adjustRightInd/>
        <w:snapToGrid w:val="0"/>
        <w:spacing w:line="560" w:lineRule="exact"/>
        <w:ind w:left="0" w:right="0" w:firstLineChars="200" w:firstLine="640"/>
        <w:jc w:val="both"/>
        <w:textAlignment w:val="auto"/>
        <w:outlineLvl w:val="9"/>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（十三）其他交通费用：</w:t>
      </w:r>
      <w:r>
        <w:rPr>
          <w:rFonts w:ascii="仿宋_GB2312" w:eastAsia="仿宋_GB2312" w:cs="Times New Roman" w:hint="eastAsia"/>
          <w:color w:val="000000"/>
          <w:kern w:val="0"/>
          <w:sz w:val="32"/>
          <w:szCs w:val="32"/>
        </w:rPr>
        <w:t>填列单位除公务用车运行维护费以外的其他交通费用。如</w:t>
      </w:r>
      <w:r>
        <w:rPr>
          <w:rFonts w:ascii="仿宋_GB2312" w:eastAsia="仿宋_GB2312" w:cs="Times New Roman" w:hint="eastAsia"/>
          <w:color w:val="000000"/>
          <w:kern w:val="0"/>
          <w:sz w:val="32"/>
          <w:szCs w:val="32"/>
          <w:lang w:eastAsia="zh-CN"/>
        </w:rPr>
        <w:t>公务交通补贴、租车费用、出租车费用，飞机、船舶等燃料费、维修费、保险费</w:t>
      </w:r>
      <w:r>
        <w:rPr>
          <w:rFonts w:ascii="仿宋_GB2312" w:eastAsia="仿宋_GB2312" w:cs="Times New Roman" w:hint="eastAsia"/>
          <w:color w:val="000000"/>
          <w:kern w:val="0"/>
          <w:sz w:val="32"/>
          <w:szCs w:val="32"/>
        </w:rPr>
        <w:t>等。</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（十四）公务用车购置：</w:t>
      </w:r>
      <w:r>
        <w:rPr>
          <w:rFonts w:ascii="仿宋_GB2312" w:eastAsia="仿宋_GB2312" w:cs="Times New Roman" w:hint="eastAsia"/>
          <w:b w:val="0"/>
          <w:bCs w:val="0"/>
          <w:color w:val="000000"/>
          <w:kern w:val="0"/>
          <w:sz w:val="32"/>
          <w:szCs w:val="32"/>
        </w:rPr>
        <w:t>填</w:t>
      </w:r>
      <w:r>
        <w:rPr>
          <w:rFonts w:ascii="仿宋_GB2312" w:eastAsia="仿宋_GB2312" w:cs="Times New Roman" w:hint="eastAsia"/>
          <w:color w:val="000000"/>
          <w:kern w:val="0"/>
          <w:sz w:val="32"/>
          <w:szCs w:val="32"/>
        </w:rPr>
        <w:t>列单位公务用车车辆购置支出（含车辆购置税</w:t>
      </w:r>
      <w:r>
        <w:rPr>
          <w:rFonts w:ascii="仿宋_GB2312" w:eastAsia="仿宋_GB2312" w:cs="Times New Roman" w:hint="eastAsia"/>
          <w:color w:val="000000"/>
          <w:kern w:val="0"/>
          <w:sz w:val="32"/>
          <w:szCs w:val="32"/>
          <w:lang w:eastAsia="zh-CN"/>
        </w:rPr>
        <w:t>、牌照费</w:t>
      </w:r>
      <w:r>
        <w:rPr>
          <w:rFonts w:ascii="仿宋_GB2312" w:eastAsia="仿宋_GB2312" w:cs="Times New Roman" w:hint="eastAsia"/>
          <w:color w:val="000000"/>
          <w:kern w:val="0"/>
          <w:sz w:val="32"/>
          <w:szCs w:val="32"/>
        </w:rPr>
        <w:t>）。</w:t>
      </w:r>
    </w:p>
    <w:p>
      <w:pPr>
        <w:widowControl/>
        <w:spacing w:after="0" w:line="560" w:lineRule="exact"/>
        <w:ind w:firstLineChars="200" w:firstLine="640"/>
        <w:rPr>
          <w:rFonts w:ascii="仿宋_GB2312" w:eastAsia="仿宋_GB2312" w:cs="Times New Roman"/>
          <w:color w:val="000000"/>
          <w:kern w:val="0"/>
          <w:sz w:val="32"/>
          <w:szCs w:val="32"/>
        </w:rPr>
      </w:pPr>
      <w:r>
        <w:rPr>
          <w:rFonts w:ascii="仿宋_GB2312" w:eastAsia="仿宋_GB2312" w:cs="Times New Roman" w:hint="eastAsia"/>
          <w:b/>
          <w:bCs/>
          <w:color w:val="000000"/>
          <w:kern w:val="0"/>
          <w:sz w:val="32"/>
          <w:szCs w:val="32"/>
        </w:rPr>
        <w:t>（十五）其他交通工具购置：</w:t>
      </w:r>
      <w:r>
        <w:rPr>
          <w:rFonts w:ascii="仿宋_GB2312" w:eastAsia="仿宋_GB2312" w:cs="Times New Roman" w:hint="eastAsia"/>
          <w:color w:val="000000"/>
          <w:kern w:val="0"/>
          <w:sz w:val="32"/>
          <w:szCs w:val="32"/>
        </w:rPr>
        <w:t>填列单位除公务用车外的其他各类交通工具（如船舶、飞机</w:t>
      </w:r>
      <w:r>
        <w:rPr>
          <w:rFonts w:ascii="仿宋_GB2312" w:eastAsia="仿宋_GB2312" w:cs="Times New Roman" w:hint="eastAsia"/>
          <w:color w:val="000000"/>
          <w:kern w:val="0"/>
          <w:sz w:val="32"/>
          <w:szCs w:val="32"/>
          <w:lang w:eastAsia="zh-CN"/>
        </w:rPr>
        <w:t>等</w:t>
      </w:r>
      <w:r>
        <w:rPr>
          <w:rFonts w:ascii="仿宋_GB2312" w:eastAsia="仿宋_GB2312" w:cs="Times New Roman" w:hint="eastAsia"/>
          <w:color w:val="000000"/>
          <w:kern w:val="0"/>
          <w:sz w:val="32"/>
          <w:szCs w:val="32"/>
        </w:rPr>
        <w:t>）购置支出（含车辆购置税</w:t>
      </w:r>
      <w:r>
        <w:rPr>
          <w:rFonts w:ascii="仿宋_GB2312" w:eastAsia="仿宋_GB2312" w:cs="Times New Roman" w:hint="eastAsia"/>
          <w:color w:val="000000"/>
          <w:kern w:val="0"/>
          <w:sz w:val="32"/>
          <w:szCs w:val="32"/>
          <w:lang w:eastAsia="zh-CN"/>
        </w:rPr>
        <w:t>、牌照费</w:t>
      </w:r>
      <w:r>
        <w:rPr>
          <w:rFonts w:ascii="仿宋_GB2312" w:eastAsia="仿宋_GB2312" w:cs="Times New Roman" w:hint="eastAsia"/>
          <w:color w:val="000000"/>
          <w:kern w:val="0"/>
          <w:sz w:val="32"/>
          <w:szCs w:val="32"/>
        </w:rPr>
        <w:t>）。</w:t>
      </w:r>
    </w:p>
    <w:p>
      <w:pPr>
        <w:widowControl/>
        <w:spacing w:after="0" w:line="560" w:lineRule="exact"/>
        <w:ind w:firstLineChars="200" w:firstLine="640"/>
        <w:rPr>
          <w:rFonts w:ascii="仿宋_GB2312" w:eastAsia="仿宋_GB2312" w:cs="Times New Roman" w:hint="eastAsia"/>
          <w:color w:val="000000"/>
          <w:kern w:val="0"/>
          <w:sz w:val="32"/>
          <w:szCs w:val="32"/>
        </w:rPr>
      </w:pPr>
      <w:r>
        <w:rPr>
          <w:rFonts w:ascii="仿宋_GB2312" w:eastAsia="仿宋_GB2312" w:cs="Times New Roman" w:hint="eastAsia"/>
          <w:b/>
          <w:bCs/>
          <w:color w:val="000000"/>
          <w:kern w:val="0"/>
          <w:sz w:val="32"/>
          <w:szCs w:val="32"/>
        </w:rPr>
        <w:t>（十六）机关运行经费：</w:t>
      </w:r>
      <w:r>
        <w:rPr>
          <w:rFonts w:ascii="仿宋_GB2312" w:eastAsia="仿宋_GB2312" w:cs="Times New Roman" w:hint="eastAsia"/>
          <w:color w:val="000000"/>
          <w:kern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pPr>
        <w:tabs>
          <w:tab w:val="left" w:pos="235"/>
        </w:tabs>
        <w:bidi w:val="0"/>
        <w:jc w:val="left"/>
        <w:rPr>
          <w:rFonts w:ascii="仿宋_GB2312" w:eastAsia="仿宋_GB2312" w:cs="ArialUnicodeMS" w:hint="eastAsia"/>
          <w:kern w:val="0"/>
          <w:sz w:val="32"/>
          <w:szCs w:val="32"/>
          <w:vertAlign w:val="baseline"/>
          <w:lang w:val="en-US" w:eastAsia="zh-CN"/>
        </w:rPr>
      </w:pPr>
      <w:r>
        <w:rPr>
          <w:rFonts w:ascii="仿宋_GB2312" w:eastAsia="仿宋_GB2312" w:cs="Times New Roman" w:hint="eastAsia"/>
          <w:b/>
          <w:bCs/>
          <w:color w:val="000000"/>
          <w:kern w:val="0"/>
          <w:sz w:val="32"/>
          <w:szCs w:val="32"/>
          <w:lang w:val="en-US" w:eastAsia="zh-CN"/>
        </w:rPr>
        <w:t>（十七）经费形式:</w:t>
      </w:r>
      <w:r>
        <w:rPr>
          <w:rFonts w:ascii="仿宋_GB2312" w:eastAsia="仿宋_GB2312" w:cs="Times New Roman" w:hint="eastAsia"/>
          <w:b w:val="0"/>
          <w:bCs w:val="0"/>
          <w:color w:val="000000"/>
          <w:kern w:val="0"/>
          <w:sz w:val="32"/>
          <w:szCs w:val="32"/>
          <w:lang w:val="en-US" w:eastAsia="zh-CN"/>
        </w:rPr>
        <w:t>按</w:t>
      </w:r>
      <w:r>
        <w:rPr>
          <w:rFonts w:ascii="仿宋_GB2312" w:eastAsia="仿宋_GB2312" w:cs="Times New Roman" w:hint="eastAsia"/>
          <w:color w:val="000000"/>
          <w:kern w:val="0"/>
          <w:sz w:val="32"/>
          <w:szCs w:val="32"/>
          <w:lang w:val="en-US" w:eastAsia="zh-CN"/>
        </w:rPr>
        <w:t>照经费来源，</w:t>
      </w:r>
      <w:r>
        <w:rPr>
          <w:rFonts w:ascii="仿宋_GB2312" w:eastAsia="仿宋_GB2312" w:cs="ArialUnicodeMS" w:hint="eastAsia"/>
          <w:kern w:val="0"/>
          <w:sz w:val="32"/>
          <w:szCs w:val="32"/>
          <w:vertAlign w:val="baseline"/>
          <w:lang w:val="en-US" w:eastAsia="zh-CN"/>
        </w:rPr>
        <w:t>可分为财政拨款、财政性资金基本保证、财政性资金定额或定项补助、财政性资金零补助四类。</w:t>
      </w:r>
    </w:p>
    <w:p>
      <w:pPr>
        <w:bidi w:val="0"/>
        <w:rPr>
          <w:rFonts w:ascii="等线" w:eastAsia="等线" w:cs="Arial" w:hint="eastAsia"/>
          <w:kern w:val="2"/>
          <w:sz w:val="21"/>
          <w:szCs w:val="22"/>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jc w:val="left"/>
        <w:rPr>
          <w:rFonts w:hint="eastAsia"/>
          <w:lang w:val="en-US" w:eastAsia="zh-CN"/>
        </w:rPr>
        <w:sectPr>
          <w:headerReference w:type="default" r:id="rId31"/>
          <w:type w:val="continuous"/>
          <w:pgSz w:w="11906" w:h="16838"/>
          <w:pgMar w:top="2098" w:right="1474" w:bottom="1985" w:left="1588" w:header="851" w:footer="992" w:gutter="0"/>
          <w:pgNumType w:fmt="numberInDash"/>
          <w:docGrid w:type="lines" w:linePitch="312" w:charSpace="0"/>
        </w:sectPr>
      </w:pPr>
    </w:p>
    <w:p>
      <w:pPr>
        <w:tabs>
          <w:tab w:val="left" w:pos="235"/>
        </w:tabs>
        <w:bidi w:val="0"/>
        <w:jc w:val="left"/>
        <w:rPr>
          <w:rFonts w:hint="eastAsia"/>
          <w:lang w:val="en-US" w:eastAsia="zh-CN"/>
        </w:rPr>
        <w:sectPr>
          <w:pgSz w:w="11906" w:h="16838"/>
          <w:pgMar w:top="2098" w:right="1474" w:bottom="1985" w:left="1588" w:header="851" w:footer="992" w:gutter="0"/>
          <w:pgNumType w:fmt="numberInDash"/>
          <w:docGrid w:type="lines" w:linePitch="312" w:charSpace="0"/>
        </w:sectPr>
      </w:pPr>
      <w:r>
        <w:rPr>
          <w:sz w:val="72"/>
        </w:rPr>
        <mc:AlternateContent>
          <mc:Choice Requires="wps">
            <w:drawing>
              <wp:anchor distT="0" distB="0" distL="114298" distR="114298" simplePos="0" relativeHeight="69" behindDoc="0" locked="0" layoutInCell="1" hidden="0" allowOverlap="1">
                <wp:simplePos x="0" y="0"/>
                <wp:positionH relativeFrom="column">
                  <wp:posOffset>-1042035</wp:posOffset>
                </wp:positionH>
                <wp:positionV relativeFrom="paragraph">
                  <wp:posOffset>1725295</wp:posOffset>
                </wp:positionV>
                <wp:extent cx="7793355" cy="3341370"/>
                <wp:effectExtent l="0" t="0" r="0" b="0"/>
                <wp:wrapNone/>
                <wp:docPr id="171" name="文本框 229"/>
                <wp:cNvGraphicFramePr>
                  <a:graphicFrameLocks noChangeAspect="0"/>
                </wp:cNvGraphicFramePr>
                <a:graphic>
                  <a:graphicData uri="http://schemas.microsoft.com/office/word/2010/wordprocessingShape">
                    <wps:wsp>
                      <wps:cNvSpPr/>
                      <wps:spPr>
                        <a:xfrm rot="0">
                          <a:off x="0" y="0"/>
                          <a:ext cx="7793355" cy="3341370"/>
                        </a:xfrm>
                        <a:prstGeom prst="rect"/>
                        <a:pattFill prst="pct5">
                          <a:fgClr>
                            <a:srgbClr val="FFD966"/>
                          </a:fgClr>
                          <a:bgClr>
                            <a:srgbClr val="FFFFFF"/>
                          </a:bgClr>
                        </a:pattFill>
                        <a:ln w="6350" cmpd="sng" cap="flat">
                          <a:solidFill>
                            <a:srgbClr val="FFD966"/>
                          </a:solidFill>
                          <a:prstDash val="solid"/>
                          <a:round/>
                        </a:ln>
                      </wps:spPr>
                      <wps:txbx id="172">
                        <w:txbxContent>
                          <w:p>
                            <w:pPr>
                              <w:widowControl/>
                              <w:jc w:val="cente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第四部分 </w:t>
                            </w:r>
                          </w:p>
                          <w:p>
                            <w:pPr>
                              <w:widowControl/>
                              <w:jc w:val="center"/>
                              <w:rPr>
                                <w14:textOutline w14:w="9525" w14:cap="sq">
                                  <w14:solidFill>
                                    <w14:srgbClr w14:val="808080"/>
                                  </w14:solidFill>
                                  <w14:prstDash w14:val="solid"/>
                                  <w14:round/>
                                </w14:textOutline>
                                <w:lang w:val="en-US"/>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2019年度部门决算报表</w:t>
                            </w:r>
                          </w:p>
                        </w:txbxContent>
                      </wps:txbx>
                      <wps:bodyPr vert="horz" wrap="square" lIns="91440" tIns="45720" rIns="91440" bIns="45720" anchor="ctr" anchorCtr="0" upright="0">
                        <a:noAutofit/>
                      </wps:bodyPr>
                    </wps:wsp>
                  </a:graphicData>
                </a:graphic>
              </wp:anchor>
            </w:drawing>
          </mc:Choice>
          <mc:Fallback>
            <w:pict>
              <v:shape type="#_x0000_t202" id="文本框 229 173" o:spid="_x0000_s173" fillcolor="#FFD966" stroked="t" strokeweight="0.5pt" style="position:absolute;margin-left:-82.05pt;margin-top:135.85pt;width:613.65pt;height:263.1pt;z-index:69;mso-position-horizontal:absolute;mso-position-vertical:absolute;mso-wrap-distance-left:8.999863pt;mso-wrap-distance-right:8.999863pt;mso-wrap-style:square;">
                <v:fill r:id="rId32" o:title="5%" color2="#FFFFFF" type="pattern"/>
                <v:stroke color="#FFD966"/>
                <v:textbox id="862" inset="2.54mm,1.27mm,2.54mm,1.27mm" o:insetmode="custom" style="layout-flow:horizontal;v-text-anchor:middle;">
                  <w:txbxContent>
                    <w:p>
                      <w:pPr>
                        <w:widowControl/>
                        <w:jc w:val="cente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 xml:space="preserve">第四部分 </w:t>
                      </w:r>
                    </w:p>
                    <w:p>
                      <w:pPr>
                        <w:widowControl/>
                        <w:jc w:val="center"/>
                        <w:rPr>
                          <w14:textOutline w14:w="9525" w14:cap="sq">
                            <w14:solidFill>
                              <w14:srgbClr w14:val="808080"/>
                            </w14:solidFill>
                            <w14:prstDash w14:val="solid"/>
                            <w14:round/>
                          </w14:textOutline>
                          <w:lang w:val="en-US"/>
                        </w:rPr>
                      </w:pPr>
                      <w:r>
                        <w:rPr>
                          <w:rFonts w:ascii="黑体" w:eastAsia="黑体" w:cs="黑体" w:hint="eastAsia"/>
                          <w:color w:val="000000"/>
                          <w:sz w:val="90"/>
                          <w:szCs w:val="90"/>
                          <w14:shadow w14:sx="100000" w14:sy="100000" w14:blurRad="38100" w14:dir="5400000" w14:dist="22860" w14:algn="tl">
                            <w14:srgbClr w14:val="000000">
                              <w14:alpha w14:val="70000"/>
                            </w14:srgbClr>
                          </w14:shadow>
                          <w14:reflection w14:stA="0" w14:endPos="0" w14:dir="5400000" w14:fadeDir="5400000" w14:sx="100000" w14:sy="-100000" w14:algn="bl"/>
                          <w14:textFill>
                            <w14:solidFill>
                              <w14:srgbClr w14:val="000000"/>
                            </w14:solidFill>
                          </w14:textFill>
                          <w:lang w:val="en-US" w:eastAsia="zh-CN"/>
                        </w:rPr>
                        <w:t>2019年度部门决算报表</w:t>
                      </w:r>
                    </w:p>
                  </w:txbxContent>
                </v:textbox>
              </v:shape>
            </w:pict>
          </mc:Fallback>
        </mc:AlternateContent>
      </w:r>
    </w:p>
    <w:tbl>
      <w:tblPr>
        <w:jc w:val="left"/>
        <w:tblInd w:w="0" w:type="dxa"/>
        <w:tblW w:w="9371" w:type="dxa"/>
        <w:tblBorders>
          <w:top w:val="none" w:sz="0" w:space="0" w:color="auto"/>
          <w:left w:val="none" w:sz="0" w:space="0" w:color="auto"/>
          <w:bottom w:val="none" w:sz="0" w:space="0" w:color="auto"/>
          <w:right w:val="none" w:sz="0" w:space="0" w:color="auto"/>
        </w:tblBorders>
        <w:shd w:val="clear" w:color="auto" w:fill="auto"/>
        <w:tblCellMar>
          <w:top w:w="0" w:type="dxa"/>
          <w:left w:w="0" w:type="dxa"/>
          <w:bottom w:w="0" w:type="dxa"/>
          <w:right w:w="0" w:type="dxa"/>
        </w:tblCellMar>
      </w:tblPr>
      <w:tblGrid>
        <w:gridCol w:w="930"/>
        <w:gridCol w:w="1900"/>
        <w:gridCol w:w="466"/>
        <w:gridCol w:w="389"/>
        <w:gridCol w:w="79"/>
        <w:gridCol w:w="685"/>
        <w:gridCol w:w="256"/>
        <w:gridCol w:w="1080"/>
        <w:gridCol w:w="855"/>
        <w:gridCol w:w="855"/>
        <w:gridCol w:w="250"/>
        <w:gridCol w:w="468"/>
        <w:gridCol w:w="198"/>
        <w:gridCol w:w="814"/>
        <w:gridCol w:w="146"/>
      </w:tblGrid>
      <w:tr>
        <w:trPr>
          <w:trHeight w:val="540"/>
          <w:gridAfter w:val="1"/>
          <w:wAfter w:w="146" w:type="dxa"/>
        </w:trPr>
        <w:tc>
          <w:tcPr>
            <w:tcW w:w="9225" w:type="dxa"/>
            <w:gridSpan w:val="14"/>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4"/>
                <w:szCs w:val="44"/>
                <w:u w:val="none"/>
              </w:rPr>
            </w:pPr>
            <w:r>
              <w:rPr>
                <w:rFonts w:ascii="黑体" w:eastAsia="黑体" w:cs="黑体" w:hint="eastAsia"/>
                <w:i w:val="0"/>
                <w:color w:val="000000"/>
                <w:kern w:val="0"/>
                <w:sz w:val="32"/>
                <w:szCs w:val="32"/>
                <w:u w:val="none"/>
                <w:lang w:val="en-US" w:eastAsia="zh-CN"/>
              </w:rPr>
              <w:t>收入支出决算总表</w:t>
            </w:r>
          </w:p>
        </w:tc>
      </w:tr>
      <w:tr>
        <w:trPr>
          <w:trHeight w:val="255"/>
          <w:gridAfter w:val="1"/>
          <w:wAfter w:w="146" w:type="dxa"/>
        </w:trPr>
        <w:tc>
          <w:tcPr>
            <w:tcW w:w="3296" w:type="dxa"/>
            <w:gridSpan w:val="3"/>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468" w:type="dxa"/>
            <w:gridSpan w:val="2"/>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68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296" w:type="dxa"/>
            <w:gridSpan w:val="5"/>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468"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12"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公开01表</w:t>
            </w:r>
          </w:p>
        </w:tc>
      </w:tr>
      <w:tr>
        <w:trPr>
          <w:trHeight w:val="255"/>
          <w:gridAfter w:val="1"/>
          <w:wAfter w:w="146" w:type="dxa"/>
        </w:trPr>
        <w:tc>
          <w:tcPr>
            <w:tcW w:w="3296"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1153"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3296" w:type="dxa"/>
            <w:gridSpan w:val="5"/>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480"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60"/>
          <w:gridAfter w:val="1"/>
          <w:wAfter w:w="146" w:type="dxa"/>
        </w:trPr>
        <w:tc>
          <w:tcPr>
            <w:tcW w:w="4449"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收入</w:t>
            </w:r>
          </w:p>
        </w:tc>
        <w:tc>
          <w:tcPr>
            <w:tcW w:w="4776" w:type="dxa"/>
            <w:gridSpan w:val="8"/>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支出</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行次</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行次</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center"/>
              <w:rPr>
                <w:rFonts w:ascii="宋体" w:eastAsia="宋体" w:cs="宋体" w:hint="eastAsia"/>
                <w:i w:val="0"/>
                <w:color w:val="000000"/>
                <w:sz w:val="20"/>
                <w:szCs w:val="20"/>
                <w:u w:val="none"/>
              </w:rPr>
            </w:pP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center"/>
              <w:rPr>
                <w:rFonts w:ascii="宋体" w:eastAsia="宋体" w:cs="宋体" w:hint="eastAsia"/>
                <w:i w:val="0"/>
                <w:color w:val="000000"/>
                <w:sz w:val="20"/>
                <w:szCs w:val="20"/>
                <w:u w:val="none"/>
              </w:rPr>
            </w:pP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一、一般公共预算财政拨款收入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483.46</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一、一般公共服务支出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29</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二、政府性基金预算财政拨款收入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二、外交支出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三、上级补助收入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三、国防支出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四、事业收入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四、公共安全支出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32</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五、经营收入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五、教育支出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33</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六、附属单位上缴收入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6</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六、科学技术支出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34</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七、其他收入</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7</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七、文化旅游体育与传媒支出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35</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482.01</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8</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八、社会保障和就业支出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36</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9</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九、卫生健康支出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37</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十、节能环保支出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38</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十一、城乡社区支出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12</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十二、农林水支出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40</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13</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十三、交通运输支出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41</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14</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十四、资源勘探信息等支出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15</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十五、商业服务业等支出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43</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16</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十六、金融支出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44</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17</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十七、援助其他地区支出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45</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18</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十八、自然资源海洋气象等支出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19</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十九、住房保障支出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二十、粮油物资储备支出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21</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二十一、灾害防治及应急管理支出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49</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22</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二十二、其他支出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50</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23</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二十四、债务付息支出</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51</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本年收入合计</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24</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485.96</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本年支出合计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52</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485.96</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用事业基金弥补收支差额</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结余分配</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53</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年初结转和结余</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26</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年末结转和结余</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54</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27</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55</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r>
      <w:tr>
        <w:trPr>
          <w:trHeight w:val="360"/>
          <w:gridAfter w:val="1"/>
          <w:wAfter w:w="146" w:type="dxa"/>
        </w:trPr>
        <w:tc>
          <w:tcPr>
            <w:tcW w:w="329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总计</w:t>
            </w:r>
          </w:p>
        </w:tc>
        <w:tc>
          <w:tcPr>
            <w:tcW w:w="46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28</w:t>
            </w:r>
          </w:p>
        </w:tc>
        <w:tc>
          <w:tcPr>
            <w:tcW w:w="68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486.83</w:t>
            </w:r>
          </w:p>
        </w:tc>
        <w:tc>
          <w:tcPr>
            <w:tcW w:w="329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总计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56</w:t>
            </w:r>
          </w:p>
        </w:tc>
        <w:tc>
          <w:tcPr>
            <w:tcW w:w="101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486.83</w:t>
            </w:r>
          </w:p>
        </w:tc>
      </w:tr>
      <w:tr>
        <w:trPr>
          <w:trHeight w:val="308"/>
          <w:gridAfter w:val="1"/>
          <w:wAfter w:w="146" w:type="dxa"/>
        </w:trPr>
        <w:tc>
          <w:tcPr>
            <w:tcW w:w="9225" w:type="dxa"/>
            <w:gridSpan w:val="14"/>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注：本表反映部门本年度的总收支和年末结转结余情况。</w:t>
            </w:r>
          </w:p>
        </w:tc>
      </w:tr>
      <w:tr>
        <w:trPr>
          <w:trHeight w:val="540"/>
        </w:trPr>
        <w:tc>
          <w:tcPr>
            <w:tcW w:w="9371" w:type="dxa"/>
            <w:gridSpan w:val="15"/>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4"/>
                <w:szCs w:val="44"/>
                <w:u w:val="none"/>
              </w:rPr>
            </w:pPr>
            <w:r>
              <w:rPr>
                <w:rFonts w:ascii="黑体" w:eastAsia="黑体" w:cs="黑体" w:hint="eastAsia"/>
                <w:i w:val="0"/>
                <w:color w:val="000000"/>
                <w:kern w:val="0"/>
                <w:sz w:val="32"/>
                <w:szCs w:val="32"/>
                <w:u w:val="none"/>
                <w:lang w:val="en-US" w:eastAsia="zh-CN"/>
              </w:rPr>
              <w:t>收入决算表</w:t>
            </w:r>
          </w:p>
        </w:tc>
      </w:tr>
      <w:tr>
        <w:trPr>
          <w:trHeight w:val="255"/>
        </w:trPr>
        <w:tc>
          <w:tcPr>
            <w:tcW w:w="93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190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55" w:type="dxa"/>
            <w:gridSpan w:val="2"/>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20" w:type="dxa"/>
            <w:gridSpan w:val="3"/>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8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5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5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16" w:type="dxa"/>
            <w:gridSpan w:val="3"/>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60"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公开02表</w:t>
            </w:r>
          </w:p>
        </w:tc>
      </w:tr>
      <w:tr>
        <w:trPr>
          <w:trHeight w:val="255"/>
        </w:trPr>
        <w:tc>
          <w:tcPr>
            <w:tcW w:w="2830"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855" w:type="dxa"/>
            <w:gridSpan w:val="2"/>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20" w:type="dxa"/>
            <w:gridSpan w:val="3"/>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8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85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5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876" w:type="dxa"/>
            <w:gridSpan w:val="5"/>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855" w:type="dxa"/>
            <w:gridSpan w:val="2"/>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本年收入合计</w:t>
            </w:r>
          </w:p>
        </w:tc>
        <w:tc>
          <w:tcPr>
            <w:tcW w:w="1020" w:type="dxa"/>
            <w:gridSpan w:val="3"/>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财政拨款收入</w:t>
            </w:r>
          </w:p>
        </w:tc>
        <w:tc>
          <w:tcPr>
            <w:tcW w:w="108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上级补助收入</w:t>
            </w:r>
          </w:p>
        </w:tc>
        <w:tc>
          <w:tcPr>
            <w:tcW w:w="855"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事业收入</w:t>
            </w:r>
          </w:p>
        </w:tc>
        <w:tc>
          <w:tcPr>
            <w:tcW w:w="855"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经营收入</w:t>
            </w:r>
          </w:p>
        </w:tc>
        <w:tc>
          <w:tcPr>
            <w:tcW w:w="916" w:type="dxa"/>
            <w:gridSpan w:val="3"/>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附属单位上缴收入</w:t>
            </w:r>
          </w:p>
        </w:tc>
        <w:tc>
          <w:tcPr>
            <w:tcW w:w="960" w:type="dxa"/>
            <w:gridSpan w:val="2"/>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其他收入</w:t>
            </w:r>
          </w:p>
        </w:tc>
      </w:tr>
      <w:tr>
        <w:trPr>
          <w:trHeight w:val="308"/>
        </w:trPr>
        <w:tc>
          <w:tcPr>
            <w:tcW w:w="930"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功能分类科目编码</w:t>
            </w:r>
          </w:p>
        </w:tc>
        <w:tc>
          <w:tcPr>
            <w:tcW w:w="190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855"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20"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16"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60"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930"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90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20"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16"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60"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930"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90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20"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16" w:type="dxa"/>
            <w:gridSpan w:val="3"/>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60" w:type="dxa"/>
            <w:gridSpan w:val="2"/>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566"/>
        </w:trPr>
        <w:tc>
          <w:tcPr>
            <w:tcW w:w="2830"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6</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7</w:t>
            </w:r>
          </w:p>
        </w:tc>
      </w:tr>
      <w:tr>
        <w:trPr>
          <w:trHeight w:val="566"/>
        </w:trPr>
        <w:tc>
          <w:tcPr>
            <w:tcW w:w="2830"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合计</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485.96</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483.46</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2.50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文化旅游体育与传媒支出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482.01</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479.51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文化和旅游</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472.01</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469.51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2070109</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群众文化</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460.81</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458.31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2070199</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其他文化和旅游支出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其他文化体育与传媒支出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2079999</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其他文化体育与传媒支出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社会保障和就业支出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行政事业单位离退休</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2080505</w:t>
            </w: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机关事业单位基本养老保险缴费支出</w:t>
            </w: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93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5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20"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85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1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6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420"/>
        </w:trPr>
        <w:tc>
          <w:tcPr>
            <w:tcW w:w="9371" w:type="dxa"/>
            <w:gridSpan w:val="15"/>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注：本表反映部门本年度取得的各项收入情况。</w:t>
            </w:r>
          </w:p>
        </w:tc>
      </w:tr>
    </w:tbl>
    <w:p>
      <w:pPr>
        <w:tabs>
          <w:tab w:val="left" w:pos="886"/>
        </w:tabs>
        <w:bidi w:val="0"/>
        <w:jc w:val="left"/>
        <w:rPr>
          <w:lang w:val="en-US" w:eastAsia="zh-CN"/>
        </w:rPr>
      </w:pPr>
    </w:p>
    <w:p>
      <w:pPr>
        <w:bidi w:val="0"/>
        <w:jc w:val="left"/>
        <w:rPr>
          <w:lang w:val="en-US" w:eastAsia="zh-CN"/>
        </w:rPr>
      </w:pPr>
    </w:p>
    <w:p>
      <w:pPr>
        <w:bidi w:val="0"/>
        <w:jc w:val="left"/>
        <w:rPr>
          <w:lang w:val="en-US" w:eastAsia="zh-CN"/>
        </w:rPr>
      </w:pPr>
    </w:p>
    <w:p>
      <w:pPr>
        <w:rPr>
          <w:lang w:val="en-US" w:eastAsia="zh-CN"/>
        </w:rPr>
      </w:pPr>
      <w:r>
        <w:rPr>
          <w:lang w:val="en-US" w:eastAsia="zh-CN"/>
        </w:rPr>
        <w:br w:type="page"/>
      </w:r>
    </w:p>
    <w:tbl>
      <w:tblPr>
        <w:jc w:val="left"/>
        <w:tblInd w:w="0" w:type="dxa"/>
        <w:tblW w:w="8625" w:type="dxa"/>
        <w:tblBorders>
          <w:top w:val="none" w:sz="0" w:space="0" w:color="auto"/>
          <w:left w:val="none" w:sz="0" w:space="0" w:color="auto"/>
          <w:bottom w:val="none" w:sz="0" w:space="0" w:color="auto"/>
          <w:right w:val="none" w:sz="0" w:space="0" w:color="auto"/>
        </w:tblBorders>
        <w:shd w:val="clear" w:color="auto" w:fill="auto"/>
        <w:tblCellMar>
          <w:top w:w="0" w:type="dxa"/>
          <w:left w:w="0" w:type="dxa"/>
          <w:bottom w:w="0" w:type="dxa"/>
          <w:right w:w="0" w:type="dxa"/>
        </w:tblCellMar>
      </w:tblPr>
      <w:tblGrid>
        <w:gridCol w:w="945"/>
        <w:gridCol w:w="2280"/>
        <w:gridCol w:w="900"/>
        <w:gridCol w:w="1080"/>
        <w:gridCol w:w="900"/>
        <w:gridCol w:w="797"/>
        <w:gridCol w:w="793"/>
        <w:gridCol w:w="930"/>
      </w:tblGrid>
      <w:tr>
        <w:trPr>
          <w:trHeight w:val="540"/>
        </w:trPr>
        <w:tc>
          <w:tcPr>
            <w:tcW w:w="8625" w:type="dxa"/>
            <w:gridSpan w:val="8"/>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4"/>
                <w:szCs w:val="44"/>
                <w:u w:val="none"/>
              </w:rPr>
            </w:pPr>
            <w:r>
              <w:rPr>
                <w:rFonts w:ascii="黑体" w:eastAsia="黑体" w:cs="黑体" w:hint="eastAsia"/>
                <w:i w:val="0"/>
                <w:color w:val="000000"/>
                <w:kern w:val="0"/>
                <w:sz w:val="32"/>
                <w:szCs w:val="32"/>
                <w:u w:val="none"/>
                <w:lang w:val="en-US" w:eastAsia="zh-CN"/>
              </w:rPr>
              <w:t>支出决算表</w:t>
            </w:r>
          </w:p>
        </w:tc>
      </w:tr>
      <w:tr>
        <w:trPr>
          <w:trHeight w:val="255"/>
        </w:trPr>
        <w:tc>
          <w:tcPr>
            <w:tcW w:w="94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228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0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8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0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79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793"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3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公开03表</w:t>
            </w:r>
          </w:p>
        </w:tc>
      </w:tr>
      <w:tr>
        <w:trPr>
          <w:trHeight w:val="255"/>
        </w:trPr>
        <w:tc>
          <w:tcPr>
            <w:tcW w:w="3225"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90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8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90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79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723"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322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90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本年支出合计</w:t>
            </w:r>
          </w:p>
        </w:tc>
        <w:tc>
          <w:tcPr>
            <w:tcW w:w="108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基本支出</w:t>
            </w:r>
          </w:p>
        </w:tc>
        <w:tc>
          <w:tcPr>
            <w:tcW w:w="90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项目支出</w:t>
            </w:r>
          </w:p>
        </w:tc>
        <w:tc>
          <w:tcPr>
            <w:tcW w:w="797"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上缴上级支出</w:t>
            </w:r>
          </w:p>
        </w:tc>
        <w:tc>
          <w:tcPr>
            <w:tcW w:w="793"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经营支出</w:t>
            </w:r>
          </w:p>
        </w:tc>
        <w:tc>
          <w:tcPr>
            <w:tcW w:w="93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对附属单位补助支出</w:t>
            </w:r>
          </w:p>
        </w:tc>
      </w:tr>
      <w:tr>
        <w:trPr>
          <w:trHeight w:val="308"/>
        </w:trPr>
        <w:tc>
          <w:tcPr>
            <w:tcW w:w="945"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功能分类科目编码</w:t>
            </w:r>
          </w:p>
        </w:tc>
        <w:tc>
          <w:tcPr>
            <w:tcW w:w="228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7"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3"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3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94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228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7"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3"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3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94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228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8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0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7"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93"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3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566"/>
        </w:trPr>
        <w:tc>
          <w:tcPr>
            <w:tcW w:w="3225"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6</w:t>
            </w:r>
          </w:p>
        </w:tc>
      </w:tr>
      <w:tr>
        <w:trPr>
          <w:trHeight w:val="566"/>
        </w:trPr>
        <w:tc>
          <w:tcPr>
            <w:tcW w:w="3225"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合计</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485.96</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431.18</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54.78</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文化旅游体育与传媒支出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482.01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427.23</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54.78</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文化和旅游</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472.01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427.23</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44.78</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2070109</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群众文化</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460.81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416.03</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44.78</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2070199</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其他文化和旅游支出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其他文化体育与传媒支出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2079999</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其他文化体育与传媒支出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社会保障和就业支出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行政事业单位离退休</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2080505</w:t>
            </w: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机关事业单位基本养老保险缴费支出</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94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22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8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79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79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8625" w:type="dxa"/>
            <w:gridSpan w:val="8"/>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注：本表反映部门本年度各项支出情况。</w:t>
            </w:r>
          </w:p>
        </w:tc>
      </w:tr>
    </w:tbl>
    <w:p>
      <w:pPr>
        <w:rPr>
          <w:lang w:val="en-US" w:eastAsia="zh-CN"/>
        </w:rPr>
      </w:pPr>
      <w:r>
        <w:rPr>
          <w:lang w:val="en-US" w:eastAsia="zh-CN"/>
        </w:rPr>
        <w:br w:type="page"/>
      </w:r>
    </w:p>
    <w:tbl>
      <w:tblPr>
        <w:jc w:val="left"/>
        <w:tblInd w:w="0" w:type="dxa"/>
        <w:tblW w:w="9430" w:type="dxa"/>
        <w:tblBorders>
          <w:top w:val="none" w:sz="0" w:space="0" w:color="auto"/>
          <w:left w:val="none" w:sz="0" w:space="0" w:color="auto"/>
          <w:bottom w:val="none" w:sz="0" w:space="0" w:color="auto"/>
          <w:right w:val="none" w:sz="0" w:space="0" w:color="auto"/>
        </w:tblBorders>
        <w:shd w:val="clear" w:color="auto" w:fill="auto"/>
        <w:tblCellMar>
          <w:top w:w="0" w:type="dxa"/>
          <w:left w:w="0" w:type="dxa"/>
          <w:bottom w:w="0" w:type="dxa"/>
          <w:right w:w="0" w:type="dxa"/>
        </w:tblCellMar>
      </w:tblPr>
      <w:tblGrid>
        <w:gridCol w:w="1593"/>
        <w:gridCol w:w="468"/>
        <w:gridCol w:w="804"/>
        <w:gridCol w:w="3441"/>
        <w:gridCol w:w="430"/>
        <w:gridCol w:w="705"/>
        <w:gridCol w:w="931"/>
        <w:gridCol w:w="1058"/>
      </w:tblGrid>
      <w:tr>
        <w:trPr>
          <w:trHeight w:val="540"/>
        </w:trPr>
        <w:tc>
          <w:tcPr>
            <w:tcW w:w="9430" w:type="dxa"/>
            <w:gridSpan w:val="8"/>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4"/>
                <w:szCs w:val="44"/>
                <w:u w:val="none"/>
              </w:rPr>
            </w:pPr>
            <w:r>
              <w:rPr>
                <w:rFonts w:ascii="黑体" w:eastAsia="黑体" w:cs="黑体" w:hint="eastAsia"/>
                <w:i w:val="0"/>
                <w:color w:val="000000"/>
                <w:kern w:val="0"/>
                <w:sz w:val="32"/>
                <w:szCs w:val="32"/>
                <w:u w:val="none"/>
                <w:lang w:val="en-US" w:eastAsia="zh-CN"/>
              </w:rPr>
              <w:t>财政拨款收入支出决算总表</w:t>
            </w:r>
          </w:p>
        </w:tc>
      </w:tr>
      <w:tr>
        <w:trPr>
          <w:trHeight w:val="255"/>
        </w:trPr>
        <w:tc>
          <w:tcPr>
            <w:tcW w:w="1593"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468"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04"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441"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43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70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31"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058"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公开04表</w:t>
            </w:r>
          </w:p>
        </w:tc>
      </w:tr>
      <w:tr>
        <w:trPr>
          <w:trHeight w:val="255"/>
        </w:trPr>
        <w:tc>
          <w:tcPr>
            <w:tcW w:w="2865"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3441"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43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70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989"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2865"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收     入</w:t>
            </w:r>
          </w:p>
        </w:tc>
        <w:tc>
          <w:tcPr>
            <w:tcW w:w="6565" w:type="dxa"/>
            <w:gridSpan w:val="5"/>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支     出</w:t>
            </w:r>
          </w:p>
        </w:tc>
      </w:tr>
      <w:tr>
        <w:trPr>
          <w:trHeight w:val="292"/>
        </w:trPr>
        <w:tc>
          <w:tcPr>
            <w:tcW w:w="1593"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468"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行次</w:t>
            </w:r>
          </w:p>
        </w:tc>
        <w:tc>
          <w:tcPr>
            <w:tcW w:w="804"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w:t>
            </w:r>
          </w:p>
        </w:tc>
        <w:tc>
          <w:tcPr>
            <w:tcW w:w="3441"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43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行次</w:t>
            </w:r>
          </w:p>
        </w:tc>
        <w:tc>
          <w:tcPr>
            <w:tcW w:w="705"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合计</w:t>
            </w:r>
          </w:p>
        </w:tc>
        <w:tc>
          <w:tcPr>
            <w:tcW w:w="931"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一般公共预算财政拨款</w:t>
            </w:r>
          </w:p>
        </w:tc>
        <w:tc>
          <w:tcPr>
            <w:tcW w:w="1058"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政府性基金预算财政拨款</w:t>
            </w:r>
          </w:p>
        </w:tc>
      </w:tr>
      <w:tr>
        <w:trPr>
          <w:trHeight w:val="615"/>
        </w:trPr>
        <w:tc>
          <w:tcPr>
            <w:tcW w:w="1593"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468"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04"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441"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43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05"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31"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58"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center"/>
              <w:rPr>
                <w:rFonts w:ascii="宋体" w:eastAsia="宋体" w:cs="宋体" w:hint="eastAsia"/>
                <w:i w:val="0"/>
                <w:color w:val="000000"/>
                <w:sz w:val="20"/>
                <w:szCs w:val="20"/>
                <w:u w:val="none"/>
              </w:rPr>
            </w:pP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center"/>
              <w:rPr>
                <w:rFonts w:ascii="宋体" w:eastAsia="宋体" w:cs="宋体" w:hint="eastAsia"/>
                <w:i w:val="0"/>
                <w:color w:val="000000"/>
                <w:sz w:val="20"/>
                <w:szCs w:val="20"/>
                <w:u w:val="none"/>
              </w:rPr>
            </w:pP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r>
      <w:tr>
        <w:trPr>
          <w:trHeight w:val="64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一、一般公共预算财政拨款</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483.46</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一、一般公共服务支出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64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二、政府性基金预算财政拨款</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二、外交支出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2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三、国防支出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32</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四、公共安全支出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33</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五、教育支出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34</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6</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六、科学技术支出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35</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7</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七、文化旅游体育与传媒支出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36</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479.51</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479.51</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8</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八、社会保障和就业支出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37</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9</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九、卫生健康支出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38</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十、节能环保支出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十一、城乡社区支出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40</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12</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十二、农林水支出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41</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13</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十三、交通运输支出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14</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十四、资源勘探信息等支出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43</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15</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十五、商业服务业等支出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44</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16</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十六、金融支出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45</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17</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十七、援助其他地区支出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18</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十八、自然资源海洋气象等支出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19</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十九、住房保障支出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二十、粮油物资储备支出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49</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21</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二十一、灾害防治及应急管理支出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50</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22</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二十二、其他支出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51</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23</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二十四、债务付息支出</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52</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本年收入合计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24</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483.46</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本年支出合计</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53</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483.46</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483.46</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48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年初财政拨款结转和结余</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25</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年末财政拨款结转和结余</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54</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48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一、一般公共预算财政拨款</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26</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0.87</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55</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480"/>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二、政府性基金预算财政拨款</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27</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56</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28</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57</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593"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总计</w:t>
            </w:r>
          </w:p>
        </w:tc>
        <w:tc>
          <w:tcPr>
            <w:tcW w:w="4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29</w:t>
            </w:r>
          </w:p>
        </w:tc>
        <w:tc>
          <w:tcPr>
            <w:tcW w:w="80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484.33</w:t>
            </w:r>
          </w:p>
        </w:tc>
        <w:tc>
          <w:tcPr>
            <w:tcW w:w="344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总计</w:t>
            </w:r>
          </w:p>
        </w:tc>
        <w:tc>
          <w:tcPr>
            <w:tcW w:w="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58</w:t>
            </w:r>
          </w:p>
        </w:tc>
        <w:tc>
          <w:tcPr>
            <w:tcW w:w="70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484.33</w:t>
            </w:r>
          </w:p>
        </w:tc>
        <w:tc>
          <w:tcPr>
            <w:tcW w:w="93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484.33</w:t>
            </w:r>
          </w:p>
        </w:tc>
        <w:tc>
          <w:tcPr>
            <w:tcW w:w="105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9430" w:type="dxa"/>
            <w:gridSpan w:val="8"/>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注：本表反映部门本年度一般公共预算财政拨款和政府性基金预算财政拨款的总收支和年末结转结余情况。</w:t>
            </w:r>
          </w:p>
        </w:tc>
      </w:tr>
    </w:tbl>
    <w:p>
      <w:pPr>
        <w:rPr>
          <w:lang w:val="en-US" w:eastAsia="zh-CN"/>
        </w:rPr>
      </w:pPr>
      <w:r>
        <w:rPr>
          <w:lang w:val="en-US" w:eastAsia="zh-CN"/>
        </w:rPr>
        <w:br w:type="page"/>
      </w:r>
    </w:p>
    <w:tbl>
      <w:tblPr>
        <w:jc w:val="left"/>
        <w:tblInd w:w="0" w:type="dxa"/>
        <w:tblW w:w="8308" w:type="dxa"/>
        <w:tblBorders>
          <w:top w:val="none" w:sz="0" w:space="0" w:color="auto"/>
          <w:left w:val="none" w:sz="0" w:space="0" w:color="auto"/>
          <w:bottom w:val="none" w:sz="0" w:space="0" w:color="auto"/>
          <w:right w:val="none" w:sz="0" w:space="0" w:color="auto"/>
        </w:tblBorders>
        <w:shd w:val="clear" w:color="auto" w:fill="auto"/>
        <w:tblCellMar>
          <w:top w:w="0" w:type="dxa"/>
          <w:left w:w="0" w:type="dxa"/>
          <w:bottom w:w="0" w:type="dxa"/>
          <w:right w:w="0" w:type="dxa"/>
        </w:tblCellMar>
      </w:tblPr>
      <w:tblGrid>
        <w:gridCol w:w="244"/>
        <w:gridCol w:w="245"/>
        <w:gridCol w:w="241"/>
        <w:gridCol w:w="4182"/>
        <w:gridCol w:w="1317"/>
        <w:gridCol w:w="927"/>
        <w:gridCol w:w="1152"/>
      </w:tblGrid>
      <w:tr>
        <w:trPr>
          <w:trHeight w:val="510"/>
        </w:trPr>
        <w:tc>
          <w:tcPr>
            <w:tcW w:w="8308" w:type="dxa"/>
            <w:gridSpan w:val="7"/>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0"/>
                <w:szCs w:val="40"/>
                <w:u w:val="none"/>
              </w:rPr>
            </w:pPr>
            <w:r>
              <w:rPr>
                <w:rFonts w:ascii="黑体" w:eastAsia="黑体" w:cs="黑体" w:hint="eastAsia"/>
                <w:i w:val="0"/>
                <w:color w:val="000000"/>
                <w:kern w:val="0"/>
                <w:sz w:val="32"/>
                <w:szCs w:val="32"/>
                <w:u w:val="none"/>
                <w:lang w:val="en-US" w:eastAsia="zh-CN"/>
              </w:rPr>
              <w:t>一般公共预算财政拨款支出决算表</w:t>
            </w:r>
          </w:p>
        </w:tc>
      </w:tr>
      <w:tr>
        <w:trPr>
          <w:trHeight w:val="255"/>
        </w:trPr>
        <w:tc>
          <w:tcPr>
            <w:tcW w:w="244"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24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241"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4182"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31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92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152"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公开05表</w:t>
            </w:r>
          </w:p>
        </w:tc>
      </w:tr>
      <w:tr>
        <w:trPr>
          <w:trHeight w:val="255"/>
        </w:trPr>
        <w:tc>
          <w:tcPr>
            <w:tcW w:w="4912" w:type="dxa"/>
            <w:gridSpan w:val="4"/>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1317"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2079"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4912"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3396"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本年支出</w:t>
            </w:r>
          </w:p>
        </w:tc>
      </w:tr>
      <w:tr>
        <w:trPr>
          <w:trHeight w:val="308"/>
        </w:trPr>
        <w:tc>
          <w:tcPr>
            <w:tcW w:w="730" w:type="dxa"/>
            <w:gridSpan w:val="3"/>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功能分类科目编码</w:t>
            </w:r>
          </w:p>
        </w:tc>
        <w:tc>
          <w:tcPr>
            <w:tcW w:w="4182"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1317"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小计</w:t>
            </w:r>
          </w:p>
        </w:tc>
        <w:tc>
          <w:tcPr>
            <w:tcW w:w="927"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基本支出</w:t>
            </w:r>
          </w:p>
        </w:tc>
        <w:tc>
          <w:tcPr>
            <w:tcW w:w="1152"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项目支出</w:t>
            </w:r>
          </w:p>
        </w:tc>
      </w:tr>
      <w:tr>
        <w:trPr>
          <w:trHeight w:val="277"/>
        </w:trPr>
        <w:tc>
          <w:tcPr>
            <w:tcW w:w="730"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418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31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2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5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730"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418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31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2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5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4912"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r>
      <w:tr>
        <w:trPr>
          <w:trHeight w:val="308"/>
        </w:trPr>
        <w:tc>
          <w:tcPr>
            <w:tcW w:w="4912"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合计</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483.46</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431.18</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52.28</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文化旅游体育与传媒支出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479.51</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427.23</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52.28</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文化和旅游</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469.51</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427.23</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42.28</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2070109</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 xml:space="preserve">  群众文化</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458.31</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416.03</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42.28</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2070199</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 xml:space="preserve">  其他文化和旅游支出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11.21</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其他文化体育与传媒支出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2079999</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 xml:space="preserve">  其他文化体育与传媒支出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社会保障和就业支出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行政事业单位离退休</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2080505</w:t>
            </w: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 xml:space="preserve">  机关事业单位基本养老保险缴费支出</w:t>
            </w: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3.95</w:t>
            </w: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730"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418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1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92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5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8308" w:type="dxa"/>
            <w:gridSpan w:val="7"/>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注：本表反映部门本年度一般公共预算财政拨款支出情况。</w:t>
            </w:r>
          </w:p>
        </w:tc>
      </w:tr>
    </w:tbl>
    <w:p>
      <w:pPr>
        <w:rPr>
          <w:lang w:val="en-US" w:eastAsia="zh-CN"/>
        </w:rPr>
      </w:pPr>
      <w:r>
        <w:rPr>
          <w:lang w:val="en-US" w:eastAsia="zh-CN"/>
        </w:rPr>
        <w:br w:type="page"/>
      </w:r>
    </w:p>
    <w:tbl>
      <w:tblPr>
        <w:jc w:val="left"/>
        <w:tblInd w:w="0" w:type="dxa"/>
        <w:tblW w:w="5002" w:type="pct"/>
        <w:tblBorders>
          <w:top w:val="none" w:sz="0" w:space="0" w:color="auto"/>
          <w:left w:val="none" w:sz="0" w:space="0" w:color="auto"/>
          <w:bottom w:val="none" w:sz="0" w:space="0" w:color="auto"/>
          <w:right w:val="none" w:sz="0" w:space="0" w:color="auto"/>
        </w:tblBorders>
        <w:shd w:val="clear" w:color="auto" w:fill="auto"/>
        <w:tblLayout w:type="fixed"/>
        <w:tblCellMar>
          <w:top w:w="0" w:type="dxa"/>
          <w:left w:w="0" w:type="dxa"/>
          <w:bottom w:w="0" w:type="dxa"/>
          <w:right w:w="0" w:type="dxa"/>
        </w:tblCellMar>
      </w:tblPr>
      <w:tblGrid>
        <w:gridCol w:w="602"/>
        <w:gridCol w:w="2375"/>
        <w:gridCol w:w="638"/>
        <w:gridCol w:w="647"/>
        <w:gridCol w:w="1528"/>
        <w:gridCol w:w="548"/>
        <w:gridCol w:w="570"/>
        <w:gridCol w:w="1615"/>
        <w:gridCol w:w="583"/>
      </w:tblGrid>
      <w:tr>
        <w:trPr>
          <w:trHeight w:val="540"/>
        </w:trPr>
        <w:tc>
          <w:tcPr>
            <w:tcW w:w="5000" w:type="pct"/>
            <w:gridSpan w:val="9"/>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4"/>
                <w:szCs w:val="44"/>
                <w:u w:val="none"/>
              </w:rPr>
            </w:pPr>
            <w:r>
              <w:rPr>
                <w:rFonts w:ascii="黑体" w:eastAsia="黑体" w:cs="黑体" w:hint="eastAsia"/>
                <w:i w:val="0"/>
                <w:color w:val="000000"/>
                <w:kern w:val="0"/>
                <w:sz w:val="32"/>
                <w:szCs w:val="32"/>
                <w:u w:val="none"/>
                <w:lang w:val="en-US" w:eastAsia="zh-CN"/>
              </w:rPr>
              <w:t>一般公共预算财政拨款基本支出决算表</w:t>
            </w:r>
          </w:p>
        </w:tc>
      </w:tr>
      <w:tr>
        <w:trPr>
          <w:trHeight w:val="255"/>
        </w:trPr>
        <w:tc>
          <w:tcPr>
            <w:tcW w:w="330"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1304"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50"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55"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39"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00"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12"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206" w:type="pct"/>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公开06表</w:t>
            </w:r>
          </w:p>
        </w:tc>
      </w:tr>
      <w:tr>
        <w:trPr>
          <w:trHeight w:val="255"/>
        </w:trPr>
        <w:tc>
          <w:tcPr>
            <w:tcW w:w="1984" w:type="pct"/>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355"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839" w:type="pct"/>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300"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12" w:type="pct"/>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206" w:type="pct"/>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1984" w:type="pct"/>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人员经费</w:t>
            </w:r>
          </w:p>
        </w:tc>
        <w:tc>
          <w:tcPr>
            <w:tcW w:w="3015" w:type="pct"/>
            <w:gridSpan w:val="6"/>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公用经费</w:t>
            </w:r>
          </w:p>
        </w:tc>
      </w:tr>
      <w:tr>
        <w:trPr>
          <w:trHeight w:val="308"/>
        </w:trPr>
        <w:tc>
          <w:tcPr>
            <w:tcW w:w="330" w:type="pct"/>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科目编码</w:t>
            </w:r>
          </w:p>
        </w:tc>
        <w:tc>
          <w:tcPr>
            <w:tcW w:w="1304"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350"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决算数</w:t>
            </w:r>
          </w:p>
        </w:tc>
        <w:tc>
          <w:tcPr>
            <w:tcW w:w="355"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科目编码</w:t>
            </w:r>
          </w:p>
        </w:tc>
        <w:tc>
          <w:tcPr>
            <w:tcW w:w="839"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300"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决算数</w:t>
            </w:r>
          </w:p>
        </w:tc>
        <w:tc>
          <w:tcPr>
            <w:tcW w:w="312"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科目编码</w:t>
            </w:r>
          </w:p>
        </w:tc>
        <w:tc>
          <w:tcPr>
            <w:tcW w:w="886"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320" w:type="pct"/>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决算数</w:t>
            </w:r>
          </w:p>
        </w:tc>
      </w:tr>
      <w:tr>
        <w:trPr>
          <w:trHeight w:val="308"/>
        </w:trPr>
        <w:tc>
          <w:tcPr>
            <w:tcW w:w="330" w:type="pct"/>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304"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50"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55"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39"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00"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12"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86"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320" w:type="pct"/>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工资福利支出</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372.30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商品和服务支出</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27.61</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307</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债务利息及费用支出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30101</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基本工资</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106.11</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30201</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办公费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4.40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30701</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国内债务付息</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30102</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津贴补贴</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21.23</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30202</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印刷费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30702</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国外债务付息</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30103</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奖金</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40.30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30203</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咨询费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资本性支出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1.50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30106</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伙食补助费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30204</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手续费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31001</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房屋建筑物购建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30107</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绩效工资</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91.35</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30205</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水费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31002</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办公设备购置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1.50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30108</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机关事业单位基本养老保险缴费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48.24</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30206</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电费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31003</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专用设备购置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30109</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职业年金缴费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0.55</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30207</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邮电费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0.30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31005</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基础设施建设</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30110</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职工基本医疗保险缴费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12.80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30208</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取暖费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31006</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大型修缮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30111</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公务员医疗补助缴费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19.64</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30209</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物业管理费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31007</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信息网络及软件购置更新</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30112</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其他社会保障缴费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3.06</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30211</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差旅费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0.72</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31008</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物资储备</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30113</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住房公积金</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29.02</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30212</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因公出国（境）费用</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31009</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土地补偿</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30114</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医疗费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30213</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维修（护）费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31010</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安置补助</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30199</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其他工资福利支出</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30214</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租赁费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31011</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地上附着物和青苗补偿</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对个人和家庭的补助</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29.77</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30215</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会议费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31012</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拆迁补偿</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30301</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离休费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30216</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培训费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31013</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公务用车购置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30302</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退休费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12.23</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公务接待费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31019</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其他交通工具购置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30303</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退职（役）费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30218</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专用材料费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31021</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文物和陈列品购置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30304</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抚恤金</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30224</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被装购置费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31022</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无形资产购置</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30305</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生活补助</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17.44</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30225</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专用燃料费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31099</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其他资本性支出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30306</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救济费</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30226</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劳务费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16.89</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399</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30307</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医疗费补助</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30227</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委托业务费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39906</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赠与</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30308</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助学金</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30228</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工会经费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1.92</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39907</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国家赔偿费用支出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30309</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奖励金</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0.11</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30229</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福利费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2.38</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39908</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对民间非营利组织和群众性自治组织补贴</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30310</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个人农业生产补贴</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30231</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公务用车运行维护费</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39999</w:t>
            </w: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其他支出</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30399</w:t>
            </w: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其他对个人和家庭的补助</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30239</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其他交通费用</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30240</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税金及附加费用</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0.00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330" w:type="pc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04"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355"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30299</w:t>
            </w:r>
          </w:p>
        </w:tc>
        <w:tc>
          <w:tcPr>
            <w:tcW w:w="839"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其他商品和服务支出</w:t>
            </w:r>
          </w:p>
        </w:tc>
        <w:tc>
          <w:tcPr>
            <w:tcW w:w="30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1.00</w:t>
            </w:r>
          </w:p>
        </w:tc>
        <w:tc>
          <w:tcPr>
            <w:tcW w:w="312"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886"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566"/>
        </w:trPr>
        <w:tc>
          <w:tcPr>
            <w:tcW w:w="1634" w:type="pct"/>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人员经费合计</w:t>
            </w:r>
          </w:p>
        </w:tc>
        <w:tc>
          <w:tcPr>
            <w:tcW w:w="35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402.07</w:t>
            </w:r>
          </w:p>
        </w:tc>
        <w:tc>
          <w:tcPr>
            <w:tcW w:w="2694" w:type="pct"/>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公用经费合计</w:t>
            </w:r>
          </w:p>
        </w:tc>
        <w:tc>
          <w:tcPr>
            <w:tcW w:w="320" w:type="pc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29.11</w:t>
            </w:r>
          </w:p>
        </w:tc>
      </w:tr>
      <w:tr>
        <w:trPr>
          <w:trHeight w:val="566"/>
        </w:trPr>
        <w:tc>
          <w:tcPr>
            <w:tcW w:w="5000" w:type="pct"/>
            <w:gridSpan w:val="9"/>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注：本表反映部门本年度一般公共预算财政拨款基本支出明细情况。</w:t>
            </w:r>
          </w:p>
        </w:tc>
      </w:tr>
    </w:tbl>
    <w:p>
      <w:pPr>
        <w:rPr>
          <w:lang w:val="en-US" w:eastAsia="zh-CN"/>
        </w:rPr>
      </w:pPr>
      <w:r>
        <w:rPr>
          <w:lang w:val="en-US" w:eastAsia="zh-CN"/>
        </w:rPr>
        <w:br w:type="page"/>
      </w:r>
    </w:p>
    <w:tbl>
      <w:tblPr>
        <w:jc w:val="center"/>
        <w:tblW w:w="9220" w:type="dxa"/>
        <w:tblBorders>
          <w:top w:val="none" w:sz="0" w:space="0" w:color="auto"/>
          <w:left w:val="none" w:sz="0" w:space="0" w:color="auto"/>
          <w:bottom w:val="none" w:sz="0" w:space="0" w:color="auto"/>
          <w:right w:val="none" w:sz="0" w:space="0" w:color="auto"/>
        </w:tblBorders>
        <w:shd w:val="clear" w:color="auto" w:fill="auto"/>
        <w:tblCellMar>
          <w:top w:w="0" w:type="dxa"/>
          <w:left w:w="0" w:type="dxa"/>
          <w:bottom w:w="0" w:type="dxa"/>
          <w:right w:w="0" w:type="dxa"/>
        </w:tblCellMar>
      </w:tblPr>
      <w:tblGrid>
        <w:gridCol w:w="1267"/>
        <w:gridCol w:w="1686"/>
        <w:gridCol w:w="1565"/>
        <w:gridCol w:w="1565"/>
        <w:gridCol w:w="1565"/>
        <w:gridCol w:w="1572"/>
      </w:tblGrid>
      <w:tr>
        <w:trPr>
          <w:trHeight w:val="638"/>
        </w:trPr>
        <w:tc>
          <w:tcPr>
            <w:tcW w:w="9220" w:type="dxa"/>
            <w:gridSpan w:val="6"/>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黑体" w:eastAsia="黑体" w:cs="黑体"/>
                <w:i w:val="0"/>
                <w:color w:val="000000"/>
                <w:sz w:val="32"/>
                <w:szCs w:val="32"/>
                <w:u w:val="none"/>
              </w:rPr>
            </w:pPr>
            <w:r>
              <w:rPr>
                <w:rFonts w:ascii="黑体" w:eastAsia="黑体" w:cs="黑体" w:hint="eastAsia"/>
                <w:i w:val="0"/>
                <w:color w:val="000000"/>
                <w:kern w:val="0"/>
                <w:sz w:val="32"/>
                <w:szCs w:val="32"/>
                <w:u w:val="none"/>
                <w:lang w:val="en-US" w:eastAsia="zh-CN"/>
              </w:rPr>
              <w:t>一般公共预算财政拨款“三公”经费支出决算表</w:t>
            </w:r>
          </w:p>
        </w:tc>
      </w:tr>
      <w:tr>
        <w:trPr>
          <w:trHeight w:val="398"/>
        </w:trPr>
        <w:tc>
          <w:tcPr>
            <w:tcW w:w="126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1686"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72"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公开07表</w:t>
            </w:r>
          </w:p>
        </w:tc>
      </w:tr>
      <w:tr>
        <w:trPr>
          <w:trHeight w:val="360"/>
        </w:trPr>
        <w:tc>
          <w:tcPr>
            <w:tcW w:w="2953" w:type="dxa"/>
            <w:gridSpan w:val="2"/>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eastAsia="等线" w:cs="Arial" w:hAnsi="Arial"/>
                <w:i w:val="0"/>
                <w:color w:val="000000"/>
                <w:kern w:val="2"/>
                <w:sz w:val="20"/>
                <w:szCs w:val="20"/>
                <w:u w:val="none"/>
                <w:lang w:val="en-US" w:eastAsia="zh-CN" w:bidi="ar-SA"/>
              </w:rPr>
            </w:pPr>
            <w:r>
              <w:rPr>
                <w:rFonts w:ascii="宋体" w:eastAsia="宋体" w:cs="宋体" w:hint="eastAsia"/>
                <w:i w:val="0"/>
                <w:color w:val="000000"/>
                <w:kern w:val="0"/>
                <w:sz w:val="20"/>
                <w:szCs w:val="20"/>
                <w:u w:val="none"/>
                <w:lang w:val="en-US" w:eastAsia="zh-CN"/>
              </w:rPr>
              <w:t>2020年8月</w:t>
            </w:r>
          </w:p>
        </w:tc>
        <w:tc>
          <w:tcPr>
            <w:tcW w:w="156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572"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417"/>
        </w:trPr>
        <w:tc>
          <w:tcPr>
            <w:tcW w:w="9220" w:type="dxa"/>
            <w:gridSpan w:val="6"/>
            <w:tcBorders>
              <w:top w:val="single" w:sz="4" w:space="0" w:color="000000"/>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预算数</w:t>
            </w:r>
          </w:p>
        </w:tc>
      </w:tr>
      <w:tr>
        <w:trPr>
          <w:trHeight w:val="417"/>
        </w:trPr>
        <w:tc>
          <w:tcPr>
            <w:tcW w:w="1267" w:type="dxa"/>
            <w:vMerge w:val="restart"/>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合计</w:t>
            </w:r>
          </w:p>
        </w:tc>
        <w:tc>
          <w:tcPr>
            <w:tcW w:w="1686" w:type="dxa"/>
            <w:vMerge w:val="restart"/>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因公出国（境）费</w:t>
            </w:r>
          </w:p>
        </w:tc>
        <w:tc>
          <w:tcPr>
            <w:tcW w:w="4695" w:type="dxa"/>
            <w:gridSpan w:val="3"/>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公务用车购置及运行费</w:t>
            </w:r>
          </w:p>
        </w:tc>
        <w:tc>
          <w:tcPr>
            <w:tcW w:w="1572" w:type="dxa"/>
            <w:vMerge w:val="restart"/>
            <w:tcBorders>
              <w:top w:val="single" w:sz="4" w:space="0" w:color="auto"/>
              <w:left w:val="nil"/>
              <w:bottom w:val="single" w:sz="4" w:space="0" w:color="000000"/>
              <w:right w:val="single" w:sz="4" w:space="0" w:color="auto"/>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公务接待费</w:t>
            </w:r>
          </w:p>
        </w:tc>
      </w:tr>
      <w:tr>
        <w:trPr>
          <w:trHeight w:val="417"/>
        </w:trPr>
        <w:tc>
          <w:tcPr>
            <w:tcW w:w="1267" w:type="dxa"/>
            <w:vMerge/>
            <w:tcBorders>
              <w:top w:val="nil"/>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tc>
        <w:tc>
          <w:tcPr>
            <w:tcW w:w="1686"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小计</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公务用车购置费</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公务用车运行费</w:t>
            </w:r>
          </w:p>
        </w:tc>
        <w:tc>
          <w:tcPr>
            <w:tcW w:w="1572" w:type="dxa"/>
            <w:vMerge/>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tc>
      </w:tr>
      <w:tr>
        <w:trPr>
          <w:trHeight w:val="417"/>
        </w:trPr>
        <w:tc>
          <w:tcPr>
            <w:tcW w:w="1267" w:type="dxa"/>
            <w:tcBorders>
              <w:top w:val="nil"/>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1</w:t>
            </w:r>
          </w:p>
        </w:tc>
        <w:tc>
          <w:tcPr>
            <w:tcW w:w="168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2</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3</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4</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5</w:t>
            </w:r>
          </w:p>
        </w:tc>
        <w:tc>
          <w:tcPr>
            <w:tcW w:w="1572" w:type="dxa"/>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6</w:t>
            </w:r>
          </w:p>
        </w:tc>
      </w:tr>
      <w:tr>
        <w:trPr>
          <w:trHeight w:val="417"/>
        </w:trPr>
        <w:tc>
          <w:tcPr>
            <w:tcW w:w="1267" w:type="dxa"/>
            <w:tcBorders>
              <w:top w:val="nil"/>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i w:val="0"/>
                <w:color w:val="000000"/>
                <w:sz w:val="22"/>
                <w:szCs w:val="22"/>
                <w:u w:val="none"/>
                <w:lang w:val="en-US" w:eastAsia="zh-CN"/>
              </w:rPr>
            </w:pPr>
            <w:r>
              <w:rPr>
                <w:rFonts w:ascii="宋体" w:eastAsia="宋体" w:cs="宋体" w:hint="eastAsia"/>
                <w:i w:val="0"/>
                <w:color w:val="000000"/>
                <w:sz w:val="22"/>
                <w:szCs w:val="22"/>
                <w:u w:val="none"/>
                <w:lang w:val="en-US" w:eastAsia="zh-CN"/>
              </w:rPr>
              <w:t>0.00</w:t>
            </w:r>
          </w:p>
        </w:tc>
        <w:tc>
          <w:tcPr>
            <w:tcW w:w="168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72" w:type="dxa"/>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r>
      <w:tr>
        <w:trPr>
          <w:trHeight w:val="417"/>
        </w:trPr>
        <w:tc>
          <w:tcPr>
            <w:tcW w:w="9220" w:type="dxa"/>
            <w:gridSpan w:val="6"/>
            <w:tcBorders>
              <w:top w:val="single" w:sz="4" w:space="0" w:color="000000"/>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决算数</w:t>
            </w:r>
          </w:p>
        </w:tc>
      </w:tr>
      <w:tr>
        <w:trPr>
          <w:trHeight w:val="417"/>
        </w:trPr>
        <w:tc>
          <w:tcPr>
            <w:tcW w:w="1267" w:type="dxa"/>
            <w:vMerge w:val="restart"/>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合计</w:t>
            </w:r>
          </w:p>
        </w:tc>
        <w:tc>
          <w:tcPr>
            <w:tcW w:w="1686" w:type="dxa"/>
            <w:vMerge w:val="restart"/>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因公出国（境）费</w:t>
            </w:r>
          </w:p>
        </w:tc>
        <w:tc>
          <w:tcPr>
            <w:tcW w:w="4695" w:type="dxa"/>
            <w:gridSpan w:val="3"/>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公务用车购置及运行费</w:t>
            </w:r>
          </w:p>
        </w:tc>
        <w:tc>
          <w:tcPr>
            <w:tcW w:w="1572" w:type="dxa"/>
            <w:vMerge w:val="restart"/>
            <w:tcBorders>
              <w:top w:val="single" w:sz="4" w:space="0" w:color="auto"/>
              <w:left w:val="nil"/>
              <w:bottom w:val="single" w:sz="4" w:space="0" w:color="000000"/>
              <w:right w:val="single" w:sz="4" w:space="0" w:color="auto"/>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公务接待费</w:t>
            </w:r>
          </w:p>
        </w:tc>
      </w:tr>
      <w:tr>
        <w:trPr>
          <w:trHeight w:val="417"/>
        </w:trPr>
        <w:tc>
          <w:tcPr>
            <w:tcW w:w="1267" w:type="dxa"/>
            <w:vMerge/>
            <w:tcBorders>
              <w:top w:val="nil"/>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tc>
        <w:tc>
          <w:tcPr>
            <w:tcW w:w="1686"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小计</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公务用车购置费</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公务用车运行费</w:t>
            </w:r>
          </w:p>
        </w:tc>
        <w:tc>
          <w:tcPr>
            <w:tcW w:w="1572" w:type="dxa"/>
            <w:vMerge/>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tc>
      </w:tr>
      <w:tr>
        <w:trPr>
          <w:trHeight w:val="417"/>
        </w:trPr>
        <w:tc>
          <w:tcPr>
            <w:tcW w:w="1267" w:type="dxa"/>
            <w:tcBorders>
              <w:top w:val="nil"/>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7</w:t>
            </w:r>
          </w:p>
        </w:tc>
        <w:tc>
          <w:tcPr>
            <w:tcW w:w="168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8</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9</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10</w:t>
            </w:r>
          </w:p>
        </w:tc>
        <w:tc>
          <w:tcPr>
            <w:tcW w:w="156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11</w:t>
            </w:r>
          </w:p>
        </w:tc>
        <w:tc>
          <w:tcPr>
            <w:tcW w:w="1572" w:type="dxa"/>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12</w:t>
            </w:r>
          </w:p>
        </w:tc>
      </w:tr>
      <w:tr>
        <w:trPr>
          <w:trHeight w:val="447"/>
        </w:trPr>
        <w:tc>
          <w:tcPr>
            <w:tcW w:w="1267" w:type="dxa"/>
            <w:tcBorders>
              <w:top w:val="nil"/>
              <w:left w:val="single" w:sz="4" w:space="0" w:color="auto"/>
              <w:bottom w:val="single" w:sz="4" w:space="0" w:color="auto"/>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686" w:type="dxa"/>
            <w:tcBorders>
              <w:top w:val="nil"/>
              <w:left w:val="nil"/>
              <w:bottom w:val="single" w:sz="4" w:space="0" w:color="auto"/>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auto"/>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auto"/>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65" w:type="dxa"/>
            <w:tcBorders>
              <w:top w:val="nil"/>
              <w:left w:val="nil"/>
              <w:bottom w:val="single" w:sz="4" w:space="0" w:color="auto"/>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c>
          <w:tcPr>
            <w:tcW w:w="1572"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r>
              <w:rPr>
                <w:rFonts w:ascii="宋体" w:eastAsia="宋体" w:cs="宋体" w:hint="eastAsia"/>
                <w:i w:val="0"/>
                <w:color w:val="000000"/>
                <w:sz w:val="22"/>
                <w:szCs w:val="22"/>
                <w:u w:val="none"/>
                <w:lang w:val="en-US" w:eastAsia="zh-CN"/>
              </w:rPr>
              <w:t>0.00</w:t>
            </w:r>
          </w:p>
        </w:tc>
      </w:tr>
    </w:tbl>
    <w:p>
      <w:pPr>
        <w:rPr>
          <w:lang w:val="en-US" w:eastAsia="zh-CN"/>
        </w:rPr>
      </w:pPr>
      <w:r>
        <w:rPr>
          <w:rFonts w:ascii="宋体" w:eastAsia="宋体" w:cs="宋体" w:hint="eastAsia"/>
          <w:sz w:val="20"/>
          <w:szCs w:val="20"/>
          <w:lang w:val="en-US" w:eastAsia="zh-CN"/>
        </w:rPr>
        <w:t>注：</w:t>
      </w:r>
      <w:r>
        <w:rPr>
          <w:rFonts w:ascii="宋体" w:eastAsia="宋体" w:cs="宋体" w:hint="eastAsia"/>
          <w:sz w:val="20"/>
          <w:szCs w:val="20"/>
        </w:rPr>
        <w:t>本表反映部门本年度“三公”经费支出预决算情况。其中：预算数为“三公”经费全年预算数，反映按规定程序调整后的预算数；决算数是包括当年一般公共预算财政拨款和以前年度结转资金安排的实际支出。</w:t>
      </w:r>
      <w:r>
        <w:rPr>
          <w:rFonts w:ascii="仿宋_GB2312" w:eastAsia="仿宋_GB2312" w:cs="仿宋_GB2312" w:hint="eastAsia"/>
          <w:sz w:val="20"/>
          <w:szCs w:val="20"/>
        </w:rPr>
        <w:tab/>
      </w:r>
      <w:r>
        <w:rPr>
          <w:rFonts w:ascii="宋体" w:eastAsia="宋体" w:cs="宋体" w:hint="eastAsia"/>
          <w:sz w:val="20"/>
          <w:szCs w:val="20"/>
          <w:lang w:val="en-US" w:eastAsia="zh-CN"/>
        </w:rPr>
        <w:t>本部门本年度无相关“三公”经费支出预决算情况，</w:t>
      </w:r>
      <w:r>
        <w:rPr>
          <w:rFonts w:ascii="宋体" w:eastAsia="宋体" w:cs="宋体" w:hint="eastAsia"/>
          <w:color w:val="000000"/>
          <w:kern w:val="0"/>
          <w:sz w:val="20"/>
          <w:szCs w:val="20"/>
        </w:rPr>
        <w:t>按要求以空表列示。</w:t>
      </w:r>
      <w:r>
        <w:rPr>
          <w:lang w:val="en-US" w:eastAsia="zh-CN"/>
        </w:rPr>
        <w:tab/>
        <w:tab/>
        <w:tab/>
        <w:tab/>
        <w:tab/>
        <w:tab/>
        <w:tab/>
        <w:tab/>
        <w:tab/>
        <w:tab/>
        <w:br w:type="page"/>
      </w:r>
    </w:p>
    <w:tbl>
      <w:tblPr>
        <w:jc w:val="left"/>
        <w:tblInd w:w="-317" w:type="dxa"/>
        <w:tblW w:w="9737" w:type="dxa"/>
        <w:tblBorders>
          <w:top w:val="none" w:sz="0" w:space="0" w:color="auto"/>
          <w:left w:val="none" w:sz="0" w:space="0" w:color="auto"/>
          <w:bottom w:val="none" w:sz="0" w:space="0" w:color="auto"/>
          <w:right w:val="none" w:sz="0" w:space="0" w:color="auto"/>
        </w:tblBorders>
        <w:shd w:val="clear" w:color="auto" w:fill="auto"/>
        <w:tblLayout w:type="fixed"/>
        <w:tblCellMar>
          <w:top w:w="0" w:type="dxa"/>
          <w:left w:w="0" w:type="dxa"/>
          <w:bottom w:w="0" w:type="dxa"/>
          <w:right w:w="0" w:type="dxa"/>
        </w:tblCellMar>
      </w:tblPr>
      <w:tblGrid>
        <w:gridCol w:w="1139"/>
        <w:gridCol w:w="1399"/>
        <w:gridCol w:w="1245"/>
        <w:gridCol w:w="1190"/>
        <w:gridCol w:w="1123"/>
        <w:gridCol w:w="1257"/>
        <w:gridCol w:w="1190"/>
        <w:gridCol w:w="1194"/>
      </w:tblGrid>
      <w:tr>
        <w:trPr>
          <w:trHeight w:val="510"/>
        </w:trPr>
        <w:tc>
          <w:tcPr>
            <w:tcW w:w="9737" w:type="dxa"/>
            <w:gridSpan w:val="8"/>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0"/>
                <w:szCs w:val="40"/>
                <w:u w:val="none"/>
              </w:rPr>
            </w:pPr>
            <w:r>
              <w:rPr>
                <w:rFonts w:ascii="黑体" w:eastAsia="黑体" w:cs="黑体" w:hint="eastAsia"/>
                <w:i w:val="0"/>
                <w:color w:val="000000"/>
                <w:kern w:val="0"/>
                <w:sz w:val="32"/>
                <w:szCs w:val="32"/>
                <w:u w:val="none"/>
                <w:lang w:val="en-US" w:eastAsia="zh-CN"/>
              </w:rPr>
              <w:t>政府性基金预算财政拨款收入支出决算表</w:t>
            </w:r>
          </w:p>
        </w:tc>
      </w:tr>
      <w:tr>
        <w:trPr>
          <w:trHeight w:val="255"/>
        </w:trPr>
        <w:tc>
          <w:tcPr>
            <w:tcW w:w="1139"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1399"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245"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19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123"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257"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19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194"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公开08表</w:t>
            </w:r>
          </w:p>
        </w:tc>
      </w:tr>
      <w:tr>
        <w:trPr>
          <w:trHeight w:val="255"/>
        </w:trPr>
        <w:tc>
          <w:tcPr>
            <w:tcW w:w="3783"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119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2020年8月</w:t>
            </w:r>
          </w:p>
        </w:tc>
        <w:tc>
          <w:tcPr>
            <w:tcW w:w="1123"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3641" w:type="dxa"/>
            <w:gridSpan w:val="3"/>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253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w:t>
            </w:r>
          </w:p>
        </w:tc>
        <w:tc>
          <w:tcPr>
            <w:tcW w:w="1245"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年初结转和结余</w:t>
            </w:r>
          </w:p>
        </w:tc>
        <w:tc>
          <w:tcPr>
            <w:tcW w:w="119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本年收入</w:t>
            </w:r>
          </w:p>
        </w:tc>
        <w:tc>
          <w:tcPr>
            <w:tcW w:w="3570"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本年支出</w:t>
            </w:r>
          </w:p>
        </w:tc>
        <w:tc>
          <w:tcPr>
            <w:tcW w:w="1194"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年末结转和结余</w:t>
            </w:r>
          </w:p>
        </w:tc>
      </w:tr>
      <w:tr>
        <w:trPr>
          <w:trHeight w:val="308"/>
        </w:trPr>
        <w:tc>
          <w:tcPr>
            <w:tcW w:w="1139"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功能分类科目编码</w:t>
            </w:r>
          </w:p>
        </w:tc>
        <w:tc>
          <w:tcPr>
            <w:tcW w:w="1399"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科目名称</w:t>
            </w:r>
          </w:p>
        </w:tc>
        <w:tc>
          <w:tcPr>
            <w:tcW w:w="124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23"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小计</w:t>
            </w:r>
          </w:p>
        </w:tc>
        <w:tc>
          <w:tcPr>
            <w:tcW w:w="1257"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基本支出</w:t>
            </w:r>
          </w:p>
        </w:tc>
        <w:tc>
          <w:tcPr>
            <w:tcW w:w="119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项目支出</w:t>
            </w:r>
          </w:p>
        </w:tc>
        <w:tc>
          <w:tcPr>
            <w:tcW w:w="1194"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113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39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4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23"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5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4"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113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39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45"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23"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5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4"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8"/>
        </w:trPr>
        <w:tc>
          <w:tcPr>
            <w:tcW w:w="2538"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栏次</w:t>
            </w: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1</w:t>
            </w: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2</w:t>
            </w: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3</w:t>
            </w: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4</w:t>
            </w: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5</w:t>
            </w: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6</w:t>
            </w:r>
          </w:p>
        </w:tc>
      </w:tr>
      <w:tr>
        <w:trPr>
          <w:trHeight w:val="308"/>
        </w:trPr>
        <w:tc>
          <w:tcPr>
            <w:tcW w:w="2538"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合计</w:t>
            </w: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0"/>
                <w:szCs w:val="20"/>
                <w:u w:val="none"/>
              </w:rPr>
            </w:pPr>
            <w:r>
              <w:rPr>
                <w:rFonts w:ascii="宋体" w:eastAsia="宋体" w:cs="宋体" w:hint="eastAsia"/>
                <w:b/>
                <w:i w:val="0"/>
                <w:color w:val="000000"/>
                <w:kern w:val="0"/>
                <w:sz w:val="20"/>
                <w:szCs w:val="20"/>
                <w:u w:val="none"/>
                <w:lang w:val="en-US" w:eastAsia="zh-CN"/>
              </w:rPr>
              <w:t>0.00</w:t>
            </w: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113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3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0"/>
                <w:szCs w:val="20"/>
                <w:u w:val="none"/>
              </w:rPr>
            </w:pPr>
          </w:p>
        </w:tc>
        <w:tc>
          <w:tcPr>
            <w:tcW w:w="124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2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2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c>
          <w:tcPr>
            <w:tcW w:w="119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0"/>
                <w:szCs w:val="20"/>
                <w:u w:val="none"/>
              </w:rPr>
            </w:pPr>
          </w:p>
        </w:tc>
      </w:tr>
      <w:tr>
        <w:trPr>
          <w:trHeight w:val="308"/>
        </w:trPr>
        <w:tc>
          <w:tcPr>
            <w:tcW w:w="9737" w:type="dxa"/>
            <w:gridSpan w:val="8"/>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注：本表反映部门本年度政府性基金预算财政拨款收入、支出及结转和结余情况。本部门本年度无收支及结转结余情况，按要求以空表列示。</w:t>
            </w:r>
          </w:p>
        </w:tc>
      </w:tr>
    </w:tbl>
    <w:p>
      <w:pPr>
        <w:rPr>
          <w:lang w:val="en-US" w:eastAsia="zh-CN"/>
        </w:rPr>
      </w:pPr>
      <w:r>
        <w:rPr>
          <w:lang w:val="en-US" w:eastAsia="zh-CN"/>
        </w:rPr>
        <w:br w:type="page"/>
      </w:r>
    </w:p>
    <w:tbl>
      <w:tblPr>
        <w:jc w:val="left"/>
        <w:tblInd w:w="0" w:type="dxa"/>
        <w:tblW w:w="9509" w:type="dxa"/>
        <w:tblBorders>
          <w:top w:val="none" w:sz="0" w:space="0" w:color="auto"/>
          <w:left w:val="none" w:sz="0" w:space="0" w:color="auto"/>
          <w:bottom w:val="none" w:sz="0" w:space="0" w:color="auto"/>
          <w:right w:val="none" w:sz="0" w:space="0" w:color="auto"/>
        </w:tblBorders>
        <w:shd w:val="clear" w:color="auto" w:fill="auto"/>
        <w:tblLayout w:type="fixed"/>
        <w:tblCellMar>
          <w:top w:w="0" w:type="dxa"/>
          <w:left w:w="0" w:type="dxa"/>
          <w:bottom w:w="0" w:type="dxa"/>
          <w:right w:w="0" w:type="dxa"/>
        </w:tblCellMar>
      </w:tblPr>
      <w:tblGrid>
        <w:gridCol w:w="1354"/>
        <w:gridCol w:w="2211"/>
        <w:gridCol w:w="2224"/>
        <w:gridCol w:w="1860"/>
        <w:gridCol w:w="1860"/>
      </w:tblGrid>
      <w:tr>
        <w:trPr>
          <w:trHeight w:val="510"/>
        </w:trPr>
        <w:tc>
          <w:tcPr>
            <w:tcW w:w="9509" w:type="dxa"/>
            <w:gridSpan w:val="5"/>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ascii="黑体" w:eastAsia="黑体" w:cs="黑体"/>
                <w:i w:val="0"/>
                <w:color w:val="000000"/>
                <w:sz w:val="40"/>
                <w:szCs w:val="40"/>
                <w:u w:val="none"/>
              </w:rPr>
            </w:pPr>
            <w:r>
              <w:rPr>
                <w:rFonts w:ascii="黑体" w:eastAsia="黑体" w:cs="黑体" w:hint="eastAsia"/>
                <w:i w:val="0"/>
                <w:color w:val="000000"/>
                <w:kern w:val="0"/>
                <w:sz w:val="32"/>
                <w:szCs w:val="32"/>
                <w:u w:val="none"/>
                <w:lang w:val="en-US" w:eastAsia="zh-CN"/>
              </w:rPr>
              <w:t>国有资本经营预算财政拨款支出决算表</w:t>
            </w:r>
          </w:p>
        </w:tc>
      </w:tr>
      <w:tr>
        <w:trPr>
          <w:trHeight w:val="255"/>
        </w:trPr>
        <w:tc>
          <w:tcPr>
            <w:tcW w:w="1354"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hint="eastAsia"/>
                <w:i w:val="0"/>
                <w:color w:val="000000"/>
                <w:sz w:val="20"/>
                <w:szCs w:val="20"/>
                <w:u w:val="none"/>
              </w:rPr>
            </w:pPr>
          </w:p>
        </w:tc>
        <w:tc>
          <w:tcPr>
            <w:tcW w:w="2211"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2224"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86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86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公开09表</w:t>
            </w:r>
          </w:p>
        </w:tc>
      </w:tr>
      <w:tr>
        <w:trPr>
          <w:trHeight w:val="255"/>
        </w:trPr>
        <w:tc>
          <w:tcPr>
            <w:tcW w:w="3565" w:type="dxa"/>
            <w:gridSpan w:val="2"/>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编制单位：唐山市丰南区文化馆</w:t>
            </w:r>
          </w:p>
        </w:tc>
        <w:tc>
          <w:tcPr>
            <w:tcW w:w="2224"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Arial" w:cs="Arial" w:hAnsi="Arial"/>
                <w:i w:val="0"/>
                <w:color w:val="000000"/>
                <w:sz w:val="20"/>
                <w:szCs w:val="20"/>
                <w:u w:val="none"/>
              </w:rPr>
            </w:pPr>
            <w:r>
              <w:rPr>
                <w:rFonts w:ascii="Arial" w:eastAsia="宋体" w:cs="Arial" w:hAnsi="Arial"/>
                <w:i w:val="0"/>
                <w:color w:val="000000"/>
                <w:kern w:val="0"/>
                <w:sz w:val="20"/>
                <w:szCs w:val="20"/>
                <w:u w:val="none"/>
                <w:lang w:val="en-US" w:eastAsia="zh-CN"/>
              </w:rPr>
              <w:t>2020年8月</w:t>
            </w:r>
          </w:p>
        </w:tc>
        <w:tc>
          <w:tcPr>
            <w:tcW w:w="1860" w:type="dxa"/>
            <w:tcBorders>
              <w:top w:val="nil"/>
              <w:left w:val="nil"/>
              <w:bottom w:val="nil"/>
              <w:right w:val="nil"/>
            </w:tcBorders>
            <w:shd w:val="clear" w:color="auto" w:fill="auto"/>
            <w:noWrap/>
            <w:tcMar>
              <w:top w:w="15" w:type="dxa"/>
              <w:left w:w="15" w:type="dxa"/>
              <w:right w:w="15" w:type="dxa"/>
            </w:tcMar>
            <w:vAlign w:val="bottom"/>
          </w:tcPr>
          <w:p>
            <w:pPr>
              <w:rPr>
                <w:rFonts w:ascii="Arial" w:cs="Arial" w:hAnsi="Arial"/>
                <w:i w:val="0"/>
                <w:color w:val="000000"/>
                <w:sz w:val="20"/>
                <w:szCs w:val="20"/>
                <w:u w:val="none"/>
              </w:rPr>
            </w:pPr>
          </w:p>
        </w:tc>
        <w:tc>
          <w:tcPr>
            <w:tcW w:w="1860" w:type="dxa"/>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right"/>
              <w:textAlignment w:val="bottom"/>
              <w:rPr>
                <w:rFonts w:ascii="宋体" w:eastAsia="宋体" w:cs="宋体" w:hint="eastAsia"/>
                <w:i w:val="0"/>
                <w:color w:val="000000"/>
                <w:sz w:val="20"/>
                <w:szCs w:val="20"/>
                <w:u w:val="none"/>
              </w:rPr>
            </w:pPr>
            <w:r>
              <w:rPr>
                <w:rFonts w:ascii="宋体" w:eastAsia="宋体" w:cs="宋体" w:hint="eastAsia"/>
                <w:i w:val="0"/>
                <w:color w:val="000000"/>
                <w:kern w:val="0"/>
                <w:sz w:val="20"/>
                <w:szCs w:val="20"/>
                <w:u w:val="none"/>
                <w:lang w:val="en-US" w:eastAsia="zh-CN"/>
              </w:rPr>
              <w:t>金额单位：万元</w:t>
            </w:r>
          </w:p>
        </w:tc>
      </w:tr>
      <w:tr>
        <w:trPr>
          <w:trHeight w:val="308"/>
        </w:trPr>
        <w:tc>
          <w:tcPr>
            <w:tcW w:w="356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科目</w:t>
            </w:r>
          </w:p>
        </w:tc>
        <w:tc>
          <w:tcPr>
            <w:tcW w:w="5944"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本年支出</w:t>
            </w:r>
          </w:p>
        </w:tc>
      </w:tr>
      <w:tr>
        <w:trPr>
          <w:trHeight w:val="615"/>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功能分类科目编码</w:t>
            </w: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科目名称</w:t>
            </w: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小计</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基本支出</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项目支出</w:t>
            </w:r>
          </w:p>
        </w:tc>
      </w:tr>
      <w:tr>
        <w:trPr>
          <w:trHeight w:val="308"/>
        </w:trPr>
        <w:tc>
          <w:tcPr>
            <w:tcW w:w="3565"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栏次</w:t>
            </w: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1</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2</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3</w:t>
            </w:r>
          </w:p>
        </w:tc>
      </w:tr>
      <w:tr>
        <w:trPr>
          <w:trHeight w:val="308"/>
        </w:trPr>
        <w:tc>
          <w:tcPr>
            <w:tcW w:w="3565"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合计</w:t>
            </w: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2"/>
                <w:szCs w:val="22"/>
                <w:u w:val="none"/>
              </w:rPr>
            </w:pPr>
            <w:r>
              <w:rPr>
                <w:rFonts w:ascii="宋体" w:eastAsia="宋体" w:cs="宋体" w:hint="eastAsia"/>
                <w:b/>
                <w:i w:val="0"/>
                <w:color w:val="000000"/>
                <w:kern w:val="0"/>
                <w:sz w:val="22"/>
                <w:szCs w:val="22"/>
                <w:u w:val="none"/>
                <w:lang w:val="en-US" w:eastAsia="zh-CN"/>
              </w:rPr>
              <w:t>0.00</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2"/>
                <w:szCs w:val="22"/>
                <w:u w:val="none"/>
              </w:rPr>
            </w:pPr>
            <w:r>
              <w:rPr>
                <w:rFonts w:ascii="宋体" w:eastAsia="宋体" w:cs="宋体" w:hint="eastAsia"/>
                <w:b/>
                <w:i w:val="0"/>
                <w:color w:val="000000"/>
                <w:kern w:val="0"/>
                <w:sz w:val="22"/>
                <w:szCs w:val="22"/>
                <w:u w:val="none"/>
                <w:lang w:val="en-US" w:eastAsia="zh-CN"/>
              </w:rPr>
              <w:t>0.00</w:t>
            </w: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ascii="宋体" w:eastAsia="宋体" w:cs="宋体" w:hint="eastAsia"/>
                <w:b/>
                <w:i w:val="0"/>
                <w:color w:val="000000"/>
                <w:sz w:val="22"/>
                <w:szCs w:val="22"/>
                <w:u w:val="none"/>
              </w:rPr>
            </w:pPr>
            <w:r>
              <w:rPr>
                <w:rFonts w:ascii="宋体" w:eastAsia="宋体" w:cs="宋体" w:hint="eastAsia"/>
                <w:b/>
                <w:i w:val="0"/>
                <w:color w:val="000000"/>
                <w:kern w:val="0"/>
                <w:sz w:val="22"/>
                <w:szCs w:val="22"/>
                <w:u w:val="none"/>
                <w:lang w:val="en-US" w:eastAsia="zh-CN"/>
              </w:rPr>
              <w:t>0.00</w:t>
            </w: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1354"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1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left"/>
              <w:rPr>
                <w:rFonts w:ascii="宋体" w:eastAsia="宋体" w:cs="宋体" w:hint="eastAsia"/>
                <w:i w:val="0"/>
                <w:color w:val="000000"/>
                <w:sz w:val="22"/>
                <w:szCs w:val="22"/>
                <w:u w:val="none"/>
              </w:rPr>
            </w:pPr>
          </w:p>
        </w:tc>
        <w:tc>
          <w:tcPr>
            <w:tcW w:w="222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c>
          <w:tcPr>
            <w:tcW w:w="18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jc w:val="right"/>
              <w:rPr>
                <w:rFonts w:ascii="宋体" w:eastAsia="宋体" w:cs="宋体" w:hint="eastAsia"/>
                <w:i w:val="0"/>
                <w:color w:val="000000"/>
                <w:sz w:val="22"/>
                <w:szCs w:val="22"/>
                <w:u w:val="none"/>
              </w:rPr>
            </w:pPr>
          </w:p>
        </w:tc>
      </w:tr>
      <w:tr>
        <w:trPr>
          <w:trHeight w:val="308"/>
        </w:trPr>
        <w:tc>
          <w:tcPr>
            <w:tcW w:w="9509" w:type="dxa"/>
            <w:gridSpan w:val="5"/>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ascii="宋体" w:eastAsia="宋体" w:cs="宋体" w:hint="eastAsia"/>
                <w:i w:val="0"/>
                <w:color w:val="000000"/>
                <w:sz w:val="22"/>
                <w:szCs w:val="22"/>
                <w:u w:val="none"/>
              </w:rPr>
            </w:pPr>
            <w:r>
              <w:rPr>
                <w:rFonts w:ascii="宋体" w:eastAsia="宋体" w:cs="宋体" w:hint="eastAsia"/>
                <w:i w:val="0"/>
                <w:color w:val="000000"/>
                <w:kern w:val="0"/>
                <w:sz w:val="22"/>
                <w:szCs w:val="22"/>
                <w:u w:val="none"/>
                <w:lang w:val="en-US" w:eastAsia="zh-CN"/>
              </w:rPr>
              <w:t>注：本表反映部门本年度国有资本经营预算财政拨款支出情况。本部门本年度无相关支出情况，按要求以空表列示。</w:t>
            </w:r>
          </w:p>
        </w:tc>
      </w:tr>
    </w:tbl>
    <w:p>
      <w:pPr>
        <w:rPr>
          <w:lang w:val="en-US" w:eastAsia="zh-CN"/>
        </w:rPr>
      </w:pPr>
      <w:r>
        <w:rPr>
          <w:lang w:val="en-US" w:eastAsia="zh-CN"/>
        </w:rPr>
        <w:br w:type="page"/>
      </w:r>
    </w:p>
    <w:p>
      <w:pPr>
        <w:bidi w:val="0"/>
        <w:jc w:val="both"/>
        <w:rPr>
          <w:lang w:val="en-US" w:eastAsia="zh-CN"/>
        </w:rPr>
      </w:pPr>
      <w:r>
        <w:rPr>
          <w:sz w:val="21"/>
        </w:rPr>
        <mc:AlternateContent>
          <mc:Choice Requires="wps">
            <w:drawing>
              <wp:anchor distT="0" distB="0" distL="114298" distR="114298" simplePos="0" relativeHeight="93" behindDoc="0" locked="0" layoutInCell="1" hidden="0" allowOverlap="1">
                <wp:simplePos x="0" y="0"/>
                <wp:positionH relativeFrom="column">
                  <wp:posOffset>-895350</wp:posOffset>
                </wp:positionH>
                <wp:positionV relativeFrom="paragraph">
                  <wp:posOffset>-1082675</wp:posOffset>
                </wp:positionV>
                <wp:extent cx="7557770" cy="10682605"/>
                <wp:effectExtent l="0" t="0" r="0" b="0"/>
                <wp:wrapNone/>
                <wp:docPr id="212" name="矩形 40"/>
                <wp:cNvGraphicFramePr>
                  <a:graphicFrameLocks noChangeAspect="0"/>
                </wp:cNvGraphicFramePr>
                <a:graphic>
                  <a:graphicData uri="http://schemas.microsoft.com/office/word/2010/wordprocessingShape">
                    <wps:wsp>
                      <wps:cNvSpPr/>
                      <wps:spPr>
                        <a:xfrm rot="0">
                          <a:off x="0" y="0"/>
                          <a:ext cx="7557770" cy="10682605"/>
                        </a:xfrm>
                        <a:prstGeom prst="rect"/>
                        <a:solidFill>
                          <a:srgbClr val="FFC000"/>
                        </a:solidFill>
                        <a:ln w="9525" cmpd="sng" cap="flat">
                          <a:noFill/>
                          <a:prstDash val="solid"/>
                          <a:round/>
                        </a:ln>
                      </wps:spPr>
                      <wps:bodyPr vert="horz" wrap="square" lIns="91440" tIns="45720" rIns="91440" bIns="45720" anchor="ctr" anchorCtr="0" upright="1">
                        <a:noAutofit/>
                      </wps:bodyPr>
                    </wps:wsp>
                  </a:graphicData>
                </a:graphic>
              </wp:anchor>
            </w:drawing>
          </mc:Choice>
          <mc:Fallback>
            <w:pict>
              <v:rect type="#_x0000_t1" id="矩形 40 213" o:spid="_x0000_s213" fillcolor="#FFC000" stroked="f" style="position:absolute;margin-left:-70.5pt;margin-top:-85.25pt;width:595.10004pt;height:841.15pt;z-index:93;mso-position-horizontal:absolute;mso-position-vertical:absolute;mso-wrap-distance-left:8.999863pt;mso-wrap-distance-right:8.999863pt;">
                <v:stroke color="#000000"/>
              </v:rect>
            </w:pict>
          </mc:Fallback>
        </mc:AlternateContent>
      </w:r>
    </w:p>
    <w:sectPr>
      <w:headerReference w:type="default" r:id="rId33"/>
      <w:headerReference w:type="first" r:id="rId34"/>
      <w:footerReference w:type="default" r:id="rId35"/>
      <w:pgSz w:w="11906" w:h="16838"/>
      <w:pgMar w:top="1701" w:right="1417" w:bottom="1281" w:left="1417" w:header="851" w:footer="992" w:gutter="0"/>
      <w:pgNumType w:fmt="numberInDash"/>
      <w:rtlGutter/>
      <w:docGrid w:type="lines" w:linePitch="312" w:charSpace="0"/>
    </w:sectPr>
  </w:body>
</w:document>
</file>

<file path=word/fontTable.xml><?xml version="1.0" encoding="utf-8"?>
<w:fonts xmlns:w="http://schemas.openxmlformats.org/wordprocessingml/2006/main" xmlns:r="http://schemas.openxmlformats.org/officeDocument/2006/relationships">
  <w:font w:name="微软雅黑">
    <w:panose1 w:val="020B0503020204020204"/>
    <w:charset w:val="86"/>
    <w:family w:val="auto"/>
    <w:pitch w:val="variable"/>
    <w:sig w:usb0="80000287" w:usb1="280F3C52" w:usb2="00000016" w:usb3="00000000" w:csb0="0004001F" w:csb1="00000000"/>
  </w:font>
  <w:font w:name="楷体_GB2312">
    <w:altName w:val="楷体"/>
    <w:panose1 w:val="02010609030101010101"/>
    <w:charset w:val="86"/>
    <w:family w:val="auto"/>
    <w:pitch w:val="variable"/>
    <w:sig w:usb0="00000000" w:usb1="00000000" w:usb2="00000000" w:usb3="00000000" w:csb0="00040000" w:csb1="00000000"/>
  </w:font>
  <w:font w:name="Yu Gothic UI Semibold">
    <w:altName w:val="Meiryo UI"/>
    <w:panose1 w:val="020B0700000000000000"/>
    <w:charset w:val="80"/>
    <w:family w:val="swiss"/>
    <w:pitch w:val="variable"/>
    <w:sig w:usb0="00000000" w:usb1="00000000" w:usb2="00000016" w:usb3="00000000" w:csb0="2002009F" w:csb1="00000000"/>
  </w:font>
  <w:font w:name="宋体">
    <w:panose1 w:val="02010600030101010101"/>
    <w:charset w:val="86"/>
    <w:family w:val="auto"/>
    <w:pitch w:val="variable"/>
    <w:sig w:usb0="00000003" w:usb1="288F0000" w:usb2="00000006" w:usb3="00000000" w:csb0="00040001" w:csb1="00000000"/>
  </w:font>
  <w:font w:name="等线">
    <w:altName w:val="Arial Unicode MS"/>
    <w:panose1 w:val="02010600030101010101"/>
    <w:charset w:val="86"/>
    <w:family w:val="auto"/>
    <w:pitch w:val="variable"/>
    <w:sig w:usb0="00000000" w:usb1="00000000" w:usb2="00000016" w:usb3="00000000" w:csb0="0004000F" w:csb1="00000000"/>
  </w:font>
  <w:font w:name="思源黑体 HW Bold">
    <w:altName w:val="黑体"/>
    <w:panose1 w:val="020B0800000000000000"/>
    <w:charset w:val="86"/>
    <w:family w:val="swiss"/>
    <w:pitch w:val="variable"/>
    <w:sig w:usb0="00000000" w:usb1="00000000" w:usb2="00000016" w:usb3="00000000" w:csb0="002E0107" w:csb1="00000000"/>
  </w:font>
  <w:font w:name="黑体">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仿宋_GB2312">
    <w:altName w:val="仿宋"/>
    <w:panose1 w:val="02010609030101010101"/>
    <w:charset w:val="86"/>
    <w:family w:val="modern"/>
    <w:pitch w:val="variable"/>
    <w:sig w:usb0="00000000" w:usb1="00000000" w:usb2="00000000" w:usb3="00000000" w:csb0="00040000" w:csb1="00000000"/>
  </w:font>
  <w:font w:name="DengXian-Regular">
    <w:altName w:val="宋体"/>
    <w:panose1 w:val="00000000000000000000"/>
    <w:charset w:val="86"/>
    <w:family w:val="auto"/>
    <w:pitch w:val="variable"/>
    <w:sig w:usb0="00000000" w:usb1="00000000" w:usb2="00000010" w:usb3="00000000" w:csb0="00040001" w:csb1="00000000"/>
  </w:font>
  <w:font w:name="ArialUnicodeMS">
    <w:altName w:val="Malgun Gothic"/>
    <w:panose1 w:val="00000000000000000000"/>
    <w:charset w:val="81"/>
    <w:family w:val="auto"/>
    <w:pitch w:val="variable"/>
    <w:sig w:usb0="00000000" w:usb1="00000000" w:usb2="00000010" w:usb3="00000000" w:csb0="00080001" w:csb1="00000000"/>
  </w:font>
  <w:font w:name="DengXian-Bold">
    <w:altName w:val="宋体"/>
    <w:panose1 w:val="00000000000000000000"/>
    <w:charset w:val="86"/>
    <w:family w:val="auto"/>
    <w:pitch w:val="variable"/>
    <w:sig w:usb0="00000000" w:usb1="00000000" w:usb2="00000010" w:usb3="00000000" w:csb0="00040001" w:csb1="00000000"/>
  </w:font>
  <w:font w:name="楷体">
    <w:panose1 w:val="02010609060101010101"/>
    <w:charset w:val="86"/>
    <w:family w:val="auto"/>
    <w:pitch w:val="variable"/>
    <w:sig w:usb0="800002BF" w:usb1="38CF7CFA" w:usb2="00000016" w:usb3="00000000" w:csb0="00040001" w:csb1="00000000"/>
  </w:font>
  <w:font w:name="仿宋">
    <w:panose1 w:val="02010609060101010101"/>
    <w:charset w:val="86"/>
    <w:family w:val="auto"/>
    <w:pitch w:val="variable"/>
    <w:sig w:usb0="800002BF" w:usb1="38CF7CFA" w:usb2="00000016" w:usb3="00000000" w:csb0="00040001" w:csb1="00000000"/>
  </w:font>
  <w:font w:name="TimesNewRomanPSMT">
    <w:altName w:val="Arial"/>
    <w:panose1 w:val="00000000000000000000"/>
    <w:charset w:val="00"/>
    <w:family w:val="swiss"/>
    <w:pitch w:val="variable"/>
    <w:sig w:usb0="00000000" w:usb1="00000000" w:usb2="00000000" w:usb3="00000000" w:csb0="00000001" w:csb1="00000000"/>
  </w:font>
  <w:font w:name="MS-UIGothic,Bold">
    <w:altName w:val="Malgun Gothic"/>
    <w:panose1 w:val="00000000000000000000"/>
    <w:charset w:val="81"/>
    <w:family w:val="auto"/>
    <w:pitch w:val="variable"/>
    <w:sig w:usb0="00000000" w:usb1="00000000" w:usb2="00000010" w:usb3="00000000" w:csb0="00080000" w:csb1="00000000"/>
  </w:font>
  <w:font w:name="Arial">
    <w:panose1 w:val="020B0604020202020204"/>
    <w:charset w:val="01"/>
    <w:family w:val="swiss"/>
    <w:pitch w:val="variable"/>
    <w:sig w:usb0="E0002AFF" w:usb1="C0007843" w:usb2="00000009"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p>
</w:ftr>
</file>

<file path=word/footer4.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p>
</w:ftr>
</file>

<file path=word/footer5.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p>
</w:ftr>
</file>

<file path=word/footer6.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15" behindDoc="0" locked="0" layoutInCell="1" hidden="0" allowOverlap="1">
              <wp:simplePos x="0" y="0"/>
              <wp:positionH relativeFrom="margin">
                <wp:posOffset>2662554</wp:posOffset>
              </wp:positionH>
              <wp:positionV relativeFrom="paragraph">
                <wp:posOffset>-164465</wp:posOffset>
              </wp:positionV>
              <wp:extent cx="388620" cy="181610"/>
              <wp:effectExtent l="0" t="0" r="0" b="0"/>
              <wp:wrapNone/>
              <wp:docPr id="63" name="文本框 2"/>
              <wp:cNvGraphicFramePr>
                <a:graphicFrameLocks noChangeAspect="0"/>
              </wp:cNvGraphicFramePr>
              <a:graphic>
                <a:graphicData uri="http://schemas.microsoft.com/office/word/2010/wordprocessingShape">
                  <wps:wsp>
                    <wps:cNvSpPr/>
                    <wps:spPr>
                      <a:xfrm rot="0">
                        <a:off x="0" y="0"/>
                        <a:ext cx="388620" cy="181610"/>
                      </a:xfrm>
                      <a:prstGeom prst="rect"/>
                      <a:noFill/>
                      <a:ln w="6350" cmpd="sng" cap="flat">
                        <a:noFill/>
                        <a:prstDash val="solid"/>
                        <a:round/>
                      </a:ln>
                    </wps:spPr>
                    <wps:txbx id="64">
                      <w:txbxContent>
                        <w:p>
                          <w:pPr>
                            <w:pStyle w:val="16"/>
                            <w:tabs>
                              <w:tab w:val="center" w:pos="4153"/>
                              <w:tab w:val="right" w:pos="8306"/>
                            </w:tabs>
                            <w:jc w:val="center"/>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6</w:t>
                          </w:r>
                          <w:r>
                            <w:rPr>
                              <w:rFonts w:ascii="Times New Roman" w:cs="Times New Roman" w:hAnsi="Times New Roman"/>
                              <w:sz w:val="24"/>
                              <w:szCs w:val="24"/>
                              <w:lang w:eastAsia="zh-CN"/>
                            </w:rPr>
                            <w:fldChar w:fldCharType="end"/>
                          </w:r>
                        </w:p>
                      </w:txbxContent>
                    </wps:txbx>
                    <wps:bodyPr vert="horz" wrap="square" lIns="0" tIns="0" rIns="0" bIns="0" anchor="t" anchorCtr="0" upright="0">
                      <a:noAutofit/>
                    </wps:bodyPr>
                  </wps:wsp>
                </a:graphicData>
              </a:graphic>
            </wp:anchor>
          </w:drawing>
        </mc:Choice>
        <mc:Fallback>
          <w:pict>
            <v:shape type="#_x0000_t202" id="文本框 2 65" o:spid="_x0000_s65" filled="f" stroked="f" strokeweight="0.5pt" style="position:absolute;margin-left:209.64998pt;margin-top:-12.95pt;width:30.600006pt;height:14.3pt;z-index:115;mso-position-horizontal:absolute;mso-position-horizontal-relative:margin;mso-position-vertical:absolute;mso-wrap-distance-left:8.999863pt;mso-wrap-distance-right:8.999863pt;mso-wrap-style:square;">
              <v:stroke color="#000000"/>
              <v:textbox id="870" inset="0mm,0mm,0mm,0mm" o:insetmode="custom" style="layout-flow:horizontal;v-text-anchor:top;">
                <w:txbxContent>
                  <w:p>
                    <w:pPr>
                      <w:pStyle w:val="16"/>
                      <w:tabs>
                        <w:tab w:val="center" w:pos="4153"/>
                        <w:tab w:val="right" w:pos="8306"/>
                      </w:tabs>
                      <w:jc w:val="center"/>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6</w:t>
                    </w:r>
                    <w:r>
                      <w:rPr>
                        <w:rFonts w:ascii="Times New Roman" w:cs="Times New Roman" w:hAnsi="Times New Roman"/>
                        <w:sz w:val="24"/>
                        <w:szCs w:val="24"/>
                        <w:lang w:eastAsia="zh-CN"/>
                      </w:rPr>
                      <w:fldChar w:fldCharType="end"/>
                    </w:r>
                  </w:p>
                </w:txbxContent>
              </v:textbox>
            </v:shape>
          </w:pict>
        </mc:Fallback>
      </mc:AlternateContent>
    </w:r>
  </w:p>
</w:ftr>
</file>

<file path=word/footer7.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17" behindDoc="0" locked="0" layoutInCell="1" hidden="0" allowOverlap="1">
              <wp:simplePos x="0" y="0"/>
              <wp:positionH relativeFrom="margin">
                <wp:posOffset>2623185</wp:posOffset>
              </wp:positionH>
              <wp:positionV relativeFrom="paragraph">
                <wp:posOffset>-285115</wp:posOffset>
              </wp:positionV>
              <wp:extent cx="431799" cy="446405"/>
              <wp:effectExtent l="0" t="0" r="0" b="0"/>
              <wp:wrapNone/>
              <wp:docPr id="66" name="文本框 3"/>
              <wp:cNvGraphicFramePr>
                <a:graphicFrameLocks noChangeAspect="0"/>
              </wp:cNvGraphicFramePr>
              <a:graphic>
                <a:graphicData uri="http://schemas.microsoft.com/office/word/2010/wordprocessingShape">
                  <wps:wsp>
                    <wps:cNvSpPr/>
                    <wps:spPr>
                      <a:xfrm rot="0">
                        <a:off x="0" y="0"/>
                        <a:ext cx="431799" cy="446405"/>
                      </a:xfrm>
                      <a:prstGeom prst="rect"/>
                      <a:noFill/>
                      <a:ln w="6350" cmpd="sng" cap="flat">
                        <a:noFill/>
                        <a:prstDash val="solid"/>
                        <a:round/>
                      </a:ln>
                    </wps:spPr>
                    <wps:txbx id="67">
                      <w:txbxContent>
                        <w:p>
                          <w:pPr>
                            <w:pStyle w:val="16"/>
                            <w:tabs>
                              <w:tab w:val="center" w:pos="4153"/>
                              <w:tab w:val="right" w:pos="8306"/>
                            </w:tabs>
                            <w:jc w:val="center"/>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w:t>
                          </w:r>
                          <w:r>
                            <w:rPr>
                              <w:rFonts w:ascii="Times New Roman" w:cs="Times New Roman" w:hAnsi="Times New Roman"/>
                              <w:sz w:val="24"/>
                              <w:szCs w:val="24"/>
                              <w:lang w:eastAsia="zh-CN"/>
                            </w:rPr>
                            <w:fldChar w:fldCharType="end"/>
                          </w:r>
                        </w:p>
                      </w:txbxContent>
                    </wps:txbx>
                    <wps:bodyPr vert="horz" wrap="square" lIns="0" tIns="0" rIns="0" bIns="0" anchor="t" anchorCtr="0" upright="0">
                      <a:noAutofit/>
                    </wps:bodyPr>
                  </wps:wsp>
                </a:graphicData>
              </a:graphic>
            </wp:anchor>
          </w:drawing>
        </mc:Choice>
        <mc:Fallback>
          <w:pict>
            <v:shape type="#_x0000_t202" id="文本框 3 68" o:spid="_x0000_s68" filled="f" stroked="f" strokeweight="0.5pt" style="position:absolute;margin-left:206.55pt;margin-top:-22.45pt;width:33.999992pt;height:35.15pt;z-index:117;mso-position-horizontal:absolute;mso-position-horizontal-relative:margin;mso-position-vertical:absolute;mso-wrap-distance-left:8.999863pt;mso-wrap-distance-right:8.999863pt;mso-wrap-style:square;">
              <v:stroke color="#000000"/>
              <v:textbox id="871" inset="0mm,0mm,0mm,0mm" o:insetmode="custom" style="layout-flow:horizontal;v-text-anchor:top;">
                <w:txbxContent>
                  <w:p>
                    <w:pPr>
                      <w:pStyle w:val="16"/>
                      <w:tabs>
                        <w:tab w:val="center" w:pos="4153"/>
                        <w:tab w:val="right" w:pos="8306"/>
                      </w:tabs>
                      <w:jc w:val="center"/>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w:t>
                    </w:r>
                    <w:r>
                      <w:rPr>
                        <w:rFonts w:ascii="Times New Roman" w:cs="Times New Roman" w:hAnsi="Times New Roman"/>
                        <w:sz w:val="24"/>
                        <w:szCs w:val="24"/>
                        <w:lang w:eastAsia="zh-CN"/>
                      </w:rPr>
                      <w:fldChar w:fldCharType="end"/>
                    </w:r>
                  </w:p>
                </w:txbxContent>
              </v:textbox>
            </v:shape>
          </w:pict>
        </mc:Fallback>
      </mc:AlternateContent>
    </w:r>
  </w:p>
</w:ftr>
</file>

<file path=word/footer8.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19" behindDoc="0" locked="0" layoutInCell="1" hidden="0" allowOverlap="1">
              <wp:simplePos x="0" y="0"/>
              <wp:positionH relativeFrom="margin">
                <wp:posOffset>2656205</wp:posOffset>
              </wp:positionH>
              <wp:positionV relativeFrom="paragraph">
                <wp:posOffset>-76200</wp:posOffset>
              </wp:positionV>
              <wp:extent cx="330098" cy="237490"/>
              <wp:effectExtent l="0" t="0" r="0" b="0"/>
              <wp:wrapNone/>
              <wp:docPr id="161" name="文本框 5"/>
              <wp:cNvGraphicFramePr>
                <a:graphicFrameLocks noChangeAspect="0"/>
              </wp:cNvGraphicFramePr>
              <a:graphic>
                <a:graphicData uri="http://schemas.microsoft.com/office/word/2010/wordprocessingShape">
                  <wps:wsp>
                    <wps:cNvSpPr/>
                    <wps:spPr>
                      <a:xfrm rot="0">
                        <a:off x="0" y="0"/>
                        <a:ext cx="330098" cy="237490"/>
                      </a:xfrm>
                      <a:prstGeom prst="rect"/>
                      <a:noFill/>
                      <a:ln w="6350" cmpd="sng" cap="flat">
                        <a:noFill/>
                        <a:prstDash val="solid"/>
                        <a:round/>
                      </a:ln>
                    </wps:spPr>
                    <wps:txbx id="162">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14</w:t>
                          </w:r>
                          <w:r>
                            <w:rPr>
                              <w:rFonts w:ascii="Times New Roman" w:cs="Times New Roman" w:hAnsi="Times New Roman"/>
                              <w:sz w:val="24"/>
                              <w:szCs w:val="24"/>
                              <w:lang w:eastAsia="zh-CN"/>
                            </w:rPr>
                            <w:fldChar w:fldCharType="end"/>
                          </w:r>
                        </w:p>
                      </w:txbxContent>
                    </wps:txbx>
                    <wps:bodyPr vert="horz" wrap="none" lIns="0" tIns="0" rIns="0" bIns="0" anchor="t" anchorCtr="0" upright="0">
                      <a:noAutofit/>
                    </wps:bodyPr>
                  </wps:wsp>
                </a:graphicData>
              </a:graphic>
            </wp:anchor>
          </w:drawing>
        </mc:Choice>
        <mc:Fallback>
          <w:pict>
            <v:shape type="#_x0000_t202" id="文本框 5 163" o:spid="_x0000_s163" filled="f" stroked="f" strokeweight="0.5pt" style="position:absolute;margin-left:209.15pt;margin-top:-6.0pt;width:25.991997pt;height:18.7pt;z-index:119;mso-position-horizontal:absolute;mso-position-horizontal-relative:margin;mso-position-vertical:absolute;mso-wrap-distance-left:8.999863pt;mso-wrap-distance-right:8.999863pt;mso-wrap-style:none;">
              <v:stroke color="#000000"/>
              <v:textbox id="872" inset="0mm,0mm,0mm,0mm" o:insetmode="custom" style="layout-flow:horizontal;v-text-anchor:top;">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14</w:t>
                    </w:r>
                    <w:r>
                      <w:rPr>
                        <w:rFonts w:ascii="Times New Roman" w:cs="Times New Roman" w:hAnsi="Times New Roman"/>
                        <w:sz w:val="24"/>
                        <w:szCs w:val="24"/>
                        <w:lang w:eastAsia="zh-CN"/>
                      </w:rPr>
                      <w:fldChar w:fldCharType="end"/>
                    </w:r>
                  </w:p>
                </w:txbxContent>
              </v:textbox>
            </v:shape>
          </w:pict>
        </mc:Fallback>
      </mc:AlternateContent>
    </w:r>
  </w:p>
</w:ftr>
</file>

<file path=word/footer9.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21" behindDoc="0" locked="0" layoutInCell="1" hidden="0" allowOverlap="1">
              <wp:simplePos x="0" y="0"/>
              <wp:positionH relativeFrom="margin">
                <wp:posOffset>2609215</wp:posOffset>
              </wp:positionH>
              <wp:positionV relativeFrom="paragraph">
                <wp:posOffset>-238125</wp:posOffset>
              </wp:positionV>
              <wp:extent cx="382905" cy="399415"/>
              <wp:effectExtent l="0" t="0" r="0" b="0"/>
              <wp:wrapNone/>
              <wp:docPr id="164" name="文本框 14"/>
              <wp:cNvGraphicFramePr>
                <a:graphicFrameLocks noChangeAspect="0"/>
              </wp:cNvGraphicFramePr>
              <a:graphic>
                <a:graphicData uri="http://schemas.microsoft.com/office/word/2010/wordprocessingShape">
                  <wps:wsp>
                    <wps:cNvSpPr/>
                    <wps:spPr>
                      <a:xfrm rot="0">
                        <a:off x="0" y="0"/>
                        <a:ext cx="382905" cy="399415"/>
                      </a:xfrm>
                      <a:prstGeom prst="rect"/>
                      <a:noFill/>
                      <a:ln w="6350" cmpd="sng" cap="flat">
                        <a:noFill/>
                        <a:prstDash val="solid"/>
                        <a:round/>
                      </a:ln>
                    </wps:spPr>
                    <wps:txbx id="165">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13</w:t>
                          </w:r>
                          <w:r>
                            <w:rPr>
                              <w:rFonts w:ascii="Times New Roman" w:cs="Times New Roman" w:hAnsi="Times New Roman"/>
                              <w:sz w:val="24"/>
                              <w:szCs w:val="24"/>
                              <w:lang w:eastAsia="zh-CN"/>
                            </w:rPr>
                            <w:fldChar w:fldCharType="end"/>
                          </w:r>
                        </w:p>
                      </w:txbxContent>
                    </wps:txbx>
                    <wps:bodyPr vert="horz" wrap="square" lIns="0" tIns="0" rIns="0" bIns="0" anchor="t" anchorCtr="0" upright="0">
                      <a:noAutofit/>
                    </wps:bodyPr>
                  </wps:wsp>
                </a:graphicData>
              </a:graphic>
            </wp:anchor>
          </w:drawing>
        </mc:Choice>
        <mc:Fallback>
          <w:pict>
            <v:shape type="#_x0000_t202" id="文本框 14 166" o:spid="_x0000_s166" filled="f" stroked="f" strokeweight="0.5pt" style="position:absolute;margin-left:205.45pt;margin-top:-18.75pt;width:30.150007pt;height:31.449999pt;z-index:121;mso-position-horizontal:absolute;mso-position-horizontal-relative:margin;mso-position-vertical:absolute;mso-wrap-distance-left:8.999863pt;mso-wrap-distance-right:8.999863pt;mso-wrap-style:square;">
              <v:stroke color="#000000"/>
              <v:textbox id="873" inset="0mm,0mm,0mm,0mm" o:insetmode="custom" style="layout-flow:horizontal;v-text-anchor:top;">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13</w:t>
                    </w:r>
                    <w:r>
                      <w:rPr>
                        <w:rFonts w:ascii="Times New Roman" w:cs="Times New Roman" w:hAnsi="Times New Roman"/>
                        <w:sz w:val="24"/>
                        <w:szCs w:val="24"/>
                        <w:lang w:eastAsia="zh-CN"/>
                      </w:rPr>
                      <w:fldChar w:fldCharType="end"/>
                    </w:r>
                  </w:p>
                </w:txbxContent>
              </v:textbox>
            </v:shape>
          </w:pict>
        </mc:Fallback>
      </mc:AlternateContent>
    </w:r>
  </w:p>
</w:ftr>
</file>

<file path=word/footer10.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27" behindDoc="0" locked="0" layoutInCell="1" hidden="0" allowOverlap="1">
              <wp:simplePos x="0" y="0"/>
              <wp:positionH relativeFrom="margin">
                <wp:posOffset>2656205</wp:posOffset>
              </wp:positionH>
              <wp:positionV relativeFrom="paragraph">
                <wp:posOffset>-76200</wp:posOffset>
              </wp:positionV>
              <wp:extent cx="330098" cy="237490"/>
              <wp:effectExtent l="0" t="0" r="0" b="0"/>
              <wp:wrapNone/>
              <wp:docPr id="209" name="文本框 45"/>
              <wp:cNvGraphicFramePr>
                <a:graphicFrameLocks noChangeAspect="0"/>
              </wp:cNvGraphicFramePr>
              <a:graphic>
                <a:graphicData uri="http://schemas.microsoft.com/office/word/2010/wordprocessingShape">
                  <wps:wsp>
                    <wps:cNvSpPr/>
                    <wps:spPr>
                      <a:xfrm rot="0">
                        <a:off x="0" y="0"/>
                        <a:ext cx="330098" cy="237490"/>
                      </a:xfrm>
                      <a:prstGeom prst="rect"/>
                      <a:noFill/>
                      <a:ln w="6350" cmpd="sng" cap="flat">
                        <a:noFill/>
                        <a:prstDash val="solid"/>
                        <a:round/>
                      </a:ln>
                    </wps:spPr>
                    <wps:txbx id="210">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14</w:t>
                          </w:r>
                          <w:r>
                            <w:rPr>
                              <w:rFonts w:ascii="Times New Roman" w:cs="Times New Roman" w:hAnsi="Times New Roman"/>
                              <w:sz w:val="24"/>
                              <w:szCs w:val="24"/>
                              <w:lang w:eastAsia="zh-CN"/>
                            </w:rPr>
                            <w:fldChar w:fldCharType="end"/>
                          </w:r>
                        </w:p>
                      </w:txbxContent>
                    </wps:txbx>
                    <wps:bodyPr vert="horz" wrap="none" lIns="0" tIns="0" rIns="0" bIns="0" anchor="t" anchorCtr="0" upright="0">
                      <a:noAutofit/>
                    </wps:bodyPr>
                  </wps:wsp>
                </a:graphicData>
              </a:graphic>
            </wp:anchor>
          </w:drawing>
        </mc:Choice>
        <mc:Fallback>
          <w:pict>
            <v:shape type="#_x0000_t202" id="文本框 45 211" o:spid="_x0000_s211" filled="f" stroked="f" strokeweight="0.5pt" style="position:absolute;margin-left:209.15pt;margin-top:-6.0pt;width:25.991997pt;height:18.7pt;z-index:127;mso-position-horizontal:absolute;mso-position-horizontal-relative:margin;mso-position-vertical:absolute;mso-wrap-distance-left:8.999863pt;mso-wrap-distance-right:8.999863pt;mso-wrap-style:none;">
              <v:stroke color="#000000"/>
              <v:textbox id="874" inset="0mm,0mm,0mm,0mm" o:insetmode="custom" style="layout-flow:horizontal;v-text-anchor:top;">
                <w:txbxContent>
                  <w:p>
                    <w:pPr>
                      <w:pStyle w:val="16"/>
                      <w:tabs>
                        <w:tab w:val="center" w:pos="4153"/>
                        <w:tab w:val="right" w:pos="8306"/>
                      </w:tabs>
                      <w:rPr>
                        <w:rFonts w:ascii="Times New Roman" w:eastAsia="等线" w:cs="Times New Roman" w:hAnsi="Times New Roman"/>
                        <w:sz w:val="24"/>
                        <w:szCs w:val="24"/>
                        <w:lang w:eastAsia="zh-CN"/>
                      </w:rPr>
                    </w:pPr>
                    <w:r>
                      <w:rPr>
                        <w:rFonts w:ascii="Times New Roman" w:cs="Times New Roman" w:hAnsi="Times New Roman"/>
                        <w:sz w:val="24"/>
                        <w:szCs w:val="24"/>
                        <w:lang w:eastAsia="zh-CN"/>
                      </w:rPr>
                      <w:fldChar w:fldCharType="begin"/>
                    </w:r>
                    <w:r>
                      <w:rPr>
                        <w:rFonts w:ascii="Times New Roman" w:cs="Times New Roman" w:hAnsi="Times New Roman"/>
                        <w:sz w:val="24"/>
                        <w:szCs w:val="24"/>
                        <w:lang w:eastAsia="zh-CN"/>
                      </w:rPr>
                      <w:instrText xml:space="preserve"> PAGE  \* MERGEFORMAT </w:instrText>
                    </w:r>
                    <w:r>
                      <w:rPr>
                        <w:rFonts w:ascii="Times New Roman" w:cs="Times New Roman" w:hAnsi="Times New Roman"/>
                        <w:sz w:val="24"/>
                        <w:szCs w:val="24"/>
                        <w:lang w:eastAsia="zh-CN"/>
                      </w:rPr>
                      <w:fldChar w:fldCharType="separate"/>
                    </w:r>
                    <w:r>
                      <w:rPr>
                        <w:rFonts w:ascii="Times New Roman" w:cs="Times New Roman" w:hAnsi="Times New Roman"/>
                        <w:sz w:val="24"/>
                        <w:szCs w:val="24"/>
                        <w:lang w:eastAsia="zh-CN"/>
                      </w:rPr>
                      <w:t>14</w:t>
                    </w:r>
                    <w:r>
                      <w:rPr>
                        <w:rFonts w:ascii="Times New Roman" w:cs="Times New Roman" w:hAnsi="Times New Roman"/>
                        <w:sz w:val="24"/>
                        <w:szCs w:val="24"/>
                        <w:lang w:eastAsia="zh-CN"/>
                      </w:rPr>
                      <w:fldChar w:fldCharType="end"/>
                    </w:r>
                  </w:p>
                </w:txbxContent>
              </v:textbox>
            </v:shape>
          </w:pict>
        </mc:Fallback>
      </mc:AlternateConten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97" behindDoc="0" locked="0" layoutInCell="1" hidden="0" allowOverlap="1">
              <wp:simplePos x="0" y="0"/>
              <wp:positionH relativeFrom="page">
                <wp:align>left</wp:align>
              </wp:positionH>
              <wp:positionV relativeFrom="page">
                <wp:posOffset>377825</wp:posOffset>
              </wp:positionV>
              <wp:extent cx="2000885" cy="407035"/>
              <wp:effectExtent l="0" t="0" r="0" b="0"/>
              <wp:wrapNone/>
              <wp:docPr id="1" name="组合"/>
              <wp:cNvGraphicFramePr>
                <a:graphicFrameLocks noChangeAspect="0"/>
              </wp:cNvGraphicFramePr>
              <a:graphic>
                <a:graphicData uri="http://schemas.microsoft.com/office/word/2010/wordprocessingGroup">
                  <wpg:wgp>
                    <wpg:cNvPr id="2" name="组合 2"/>
                    <wpg:cNvGrpSpPr/>
                    <wpg:grpSpPr>
                      <a:xfrm rot="0">
                        <a:off x="0" y="0"/>
                        <a:ext cx="2000885" cy="407035"/>
                        <a:chOff x="0" y="0"/>
                        <a:chExt cx="2000885" cy="407035"/>
                      </a:xfrm>
                      <a:prstGeom prst="rect"/>
                      <a:solidFill>
                        <a:srgbClr val="FFFFFF"/>
                      </a:solidFill>
                      <a:ln w="9525" cmpd="sng" cap="flat">
                        <a:solidFill>
                          <a:srgbClr val="000000"/>
                        </a:solidFill>
                        <a:prstDash val="solid"/>
                        <a:miter/>
                      </a:ln>
                    </wpg:grpSpPr>
                    <wps:wsp>
                      <wps:cNvPr id="3" name="文本框 3"/>
                      <wps:cNvSpPr/>
                      <wps:spPr>
                        <a:xfrm rot="0">
                          <a:off x="40640" y="0"/>
                          <a:ext cx="1960245" cy="407035"/>
                        </a:xfrm>
                        <a:prstGeom prst="rect"/>
                        <a:noFill/>
                        <a:ln w="9525" cmpd="sng" cap="flat">
                          <a:noFill/>
                          <a:prstDash val="solid"/>
                          <a:miter/>
                        </a:ln>
                      </wps:spPr>
                      <wps:txbx id="4">
                        <w:txbxContent>
                          <w:p>
                            <w:pPr>
                              <w:rPr>
                                <w:rFonts w:ascii="微软雅黑" w:eastAsia="微软雅黑" w:cs="微软雅黑" w:hint="eastAsia"/>
                                <w:b/>
                                <w:bCs/>
                                <w:sz w:val="28"/>
                                <w:szCs w:val="36"/>
                                <w:lang w:val="en-US" w:eastAsia="zh-CN"/>
                              </w:rPr>
                            </w:pPr>
                            <w:r>
                              <w:rPr>
                                <w:rFonts w:ascii="微软雅黑" w:eastAsia="微软雅黑" w:cs="微软雅黑" w:hint="eastAsia"/>
                                <w:b/>
                                <w:bCs/>
                                <w:sz w:val="28"/>
                                <w:szCs w:val="36"/>
                                <w:lang w:val="en-US" w:eastAsia="zh-CN"/>
                              </w:rPr>
                              <w:t>20XX 企业业务制定</w:t>
                            </w:r>
                          </w:p>
                        </w:txbxContent>
                      </wps:txbx>
                      <wps:bodyPr vert="horz" wrap="square" lIns="91440" tIns="45720" rIns="91440" bIns="45720" anchor="t" anchorCtr="0" upright="0">
                        <a:noAutofit/>
                      </wps:bodyPr>
                    </wps:wsp>
                    <wps:wsp>
                      <wps:cNvPr id="5" name="矩形 5"/>
                      <wps:cNvSpPr/>
                      <wps:spPr>
                        <a:xfrm rot="0">
                          <a:off x="0" y="104139"/>
                          <a:ext cx="75565"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6" o:spid="_x0000_s6" coordorigin="0,595" coordsize="3151,641" style="position:absolute;margin-left:0.0pt;margin-top:29.75pt;width:157.55002pt;height:32.050003pt;z-index:97;mso-position-horizontal:left;mso-position-horizontal-relative:page;mso-position-vertical:absolute;mso-position-vertical-relative:page;mso-wrap-distance-left:8.999863pt;mso-wrap-distance-right:8.999863pt;">
              <v:shape type="#_x0000_t202" id="_s7" o:spid="_x0000_s7" style="position:absolute;left:64;top:595;width:3087;height:641;mso-wrap-style:square;" filled="f" stroked="f">
                <v:textbox id="863" inset="2.54mm,1.27mm,2.54mm,1.27mm" o:insetmode="custom" style="layout-flow:horizontal;v-text-anchor:top;">
                  <w:txbxContent>
                    <w:p>
                      <w:pPr>
                        <w:rPr>
                          <w:rFonts w:ascii="微软雅黑" w:eastAsia="微软雅黑" w:cs="微软雅黑" w:hint="eastAsia"/>
                          <w:b/>
                          <w:bCs/>
                          <w:sz w:val="28"/>
                          <w:szCs w:val="36"/>
                          <w:lang w:val="en-US" w:eastAsia="zh-CN"/>
                        </w:rPr>
                      </w:pPr>
                      <w:r>
                        <w:rPr>
                          <w:rFonts w:ascii="微软雅黑" w:eastAsia="微软雅黑" w:cs="微软雅黑" w:hint="eastAsia"/>
                          <w:b/>
                          <w:bCs/>
                          <w:sz w:val="28"/>
                          <w:szCs w:val="36"/>
                          <w:lang w:val="en-US" w:eastAsia="zh-CN"/>
                        </w:rPr>
                        <w:t>20XX 企业业务制定</w:t>
                      </w:r>
                    </w:p>
                  </w:txbxContent>
                </v:textbox>
                <v:stroke color="#000000"/>
              </v:shape>
              <v:rect type="#_x0000_t1" id="_s8" o:spid="_x0000_s8" style="position:absolute;left:0;top:758;width:119;height:330;" fillcolor="#000000" stroked="f">
                <v:stroke color="#000000"/>
              </v:rect>
            </v:group>
          </w:pict>
        </mc:Fallback>
      </mc:AlternateContent>
    </w:r>
    <w:r>
      <w:rPr>
        <w:sz w:val="18"/>
      </w:rPr>
      <mc:AlternateContent>
        <mc:Choice Requires="wps">
          <w:drawing>
            <wp:anchor distT="0" distB="0" distL="114298" distR="114298" simplePos="0" relativeHeight="95" behindDoc="0" locked="0" layoutInCell="1" hidden="0" allowOverlap="1">
              <wp:simplePos x="0" y="0"/>
              <wp:positionH relativeFrom="page">
                <wp:posOffset>0</wp:posOffset>
              </wp:positionH>
              <wp:positionV relativeFrom="page">
                <wp:posOffset>0</wp:posOffset>
              </wp:positionV>
              <wp:extent cx="7576185" cy="748665"/>
              <wp:effectExtent l="0" t="0" r="0" b="0"/>
              <wp:wrapNone/>
              <wp:docPr id="9" name="组合"/>
              <wp:cNvGraphicFramePr>
                <a:graphicFrameLocks noChangeAspect="0"/>
              </wp:cNvGraphicFramePr>
              <a:graphic>
                <a:graphicData uri="http://schemas.microsoft.com/office/word/2010/wordprocessingGroup">
                  <wpg:wgp>
                    <wpg:cNvPr id="10" name="组合 10"/>
                    <wpg:cNvGrpSpPr/>
                    <wpg:grpSpPr>
                      <a:xfrm rot="0">
                        <a:off x="0" y="0"/>
                        <a:ext cx="7576185" cy="748665"/>
                        <a:chOff x="0" y="0"/>
                        <a:chExt cx="7576185" cy="748665"/>
                      </a:xfrm>
                      <a:prstGeom prst="rect"/>
                      <a:solidFill>
                        <a:srgbClr val="FFFFFF"/>
                      </a:solidFill>
                      <a:ln w="9525" cmpd="sng" cap="flat">
                        <a:solidFill>
                          <a:srgbClr val="000000"/>
                        </a:solidFill>
                        <a:prstDash val="solid"/>
                        <a:miter/>
                      </a:ln>
                    </wpg:grpSpPr>
                    <wps:wsp>
                      <wps:cNvPr id="11" name="矩形 11"/>
                      <wps:cNvSpPr/>
                      <wps:spPr>
                        <a:xfrm rot="0">
                          <a:off x="0" y="655955"/>
                          <a:ext cx="7572375" cy="92710"/>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12" name=" 12"/>
                      <wps:cNvSpPr/>
                      <wps:spPr>
                        <a:xfrm rot="0">
                          <a:off x="5902960" y="114935"/>
                          <a:ext cx="1663065" cy="547370"/>
                        </a:xfrm>
                        <a:custGeom>
                          <a:gdLst>
                            <a:gd name="T1" fmla="*/ 0 w 21600"/>
                            <a:gd name="T2" fmla="*/ 0 h 21600"/>
                            <a:gd name="T3" fmla="*/ 21600 w 21600"/>
                            <a:gd name="T4" fmla="*/ 21600 h 21600"/>
                          </a:gdLst>
                          <a:rect l="T1" t="T2" r="T3" b="T4"/>
                          <a:pathLst>
                            <a:path w="21600" h="21600">
                              <a:moveTo>
                                <a:pt x="4907" y="26"/>
                              </a:moveTo>
                              <a:lnTo>
                                <a:pt x="21599" y="0"/>
                              </a:lnTo>
                              <a:lnTo>
                                <a:pt x="21599" y="21600"/>
                              </a:lnTo>
                              <a:lnTo>
                                <a:pt x="0" y="21600"/>
                              </a:lnTo>
                              <a:lnTo>
                                <a:pt x="4907" y="26"/>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13" name=" 13"/>
                      <wps:cNvSpPr/>
                      <wps:spPr>
                        <a:xfrm rot="0">
                          <a:off x="6087110" y="0"/>
                          <a:ext cx="1489074" cy="703580"/>
                        </a:xfrm>
                        <a:custGeom>
                          <a:gdLst>
                            <a:gd name="T1" fmla="*/ 0 w 21600"/>
                            <a:gd name="T2" fmla="*/ 0 h 21600"/>
                            <a:gd name="T3" fmla="*/ 21600 w 21600"/>
                            <a:gd name="T4" fmla="*/ 21600 h 21600"/>
                          </a:gdLst>
                          <a:rect l="T1" t="T2" r="T3" b="T4"/>
                          <a:pathLst>
                            <a:path w="21600" h="21600">
                              <a:moveTo>
                                <a:pt x="5508" y="0"/>
                              </a:moveTo>
                              <a:lnTo>
                                <a:pt x="21600" y="169"/>
                              </a:lnTo>
                              <a:lnTo>
                                <a:pt x="21600" y="21600"/>
                              </a:lnTo>
                              <a:lnTo>
                                <a:pt x="0" y="21600"/>
                              </a:lnTo>
                              <a:lnTo>
                                <a:pt x="5508"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4" o:spid="_x0000_s14" coordorigin="0,0" coordsize="11931,1179" style="position:absolute;margin-left:0.0pt;margin-top:0.0pt;width:596.55pt;height:58.95pt;z-index:95;mso-position-horizontal:absolute;mso-position-horizontal-relative:page;mso-position-vertical:absolute;mso-position-vertical-relative:page;mso-wrap-distance-left:8.999863pt;mso-wrap-distance-right:8.999863pt;">
              <v:rect type="#_x0000_t1" id="_s15" o:spid="_x0000_s15" style="position:absolute;left:0;top:1033;width:11925;height:146;" fillcolor="#FFD966" stroked="f">
                <v:stroke color="#000000"/>
              </v:rect>
              <v:shape type="#_x0000_t100" id="_s16" o:spid="_x0000_s16" style="position:absolute;left:9295;top:181;width:2619;height:862;" fillcolor="#000000" stroked="f">
                <v:stroke color="#000000"/>
              </v:shape>
              <v:shape type="#_x0000_t100" id="_s17" o:spid="_x0000_s17" style="position:absolute;left:9586;top:0;width:2344;height:1108;" fillcolor="#FFD966" stroked="f">
                <v:stroke color="#000000"/>
              </v:shape>
            </v:group>
          </w:pict>
        </mc:Fallback>
      </mc:AlternateContent>
    </w: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4.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p>
</w:hdr>
</file>

<file path=word/header5.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6.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7.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8.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111" behindDoc="0" locked="0" layoutInCell="1" hidden="0" allowOverlap="1">
              <wp:simplePos x="0" y="0"/>
              <wp:positionH relativeFrom="page">
                <wp:posOffset>0</wp:posOffset>
              </wp:positionH>
              <wp:positionV relativeFrom="page">
                <wp:posOffset>682625</wp:posOffset>
              </wp:positionV>
              <wp:extent cx="7554593" cy="400050"/>
              <wp:effectExtent l="0" t="0" r="0" b="0"/>
              <wp:wrapNone/>
              <wp:docPr id="46" name="组合"/>
              <wp:cNvGraphicFramePr>
                <a:graphicFrameLocks noChangeAspect="0"/>
              </wp:cNvGraphicFramePr>
              <a:graphic>
                <a:graphicData uri="http://schemas.microsoft.com/office/word/2010/wordprocessingGroup">
                  <wpg:wgp>
                    <wpg:cNvPr id="47" name="组合 47"/>
                    <wpg:cNvGrpSpPr/>
                    <wpg:grpSpPr>
                      <a:xfrm rot="0">
                        <a:off x="0" y="0"/>
                        <a:ext cx="7554593" cy="400050"/>
                        <a:chOff x="0" y="0"/>
                        <a:chExt cx="7554593" cy="400050"/>
                      </a:xfrm>
                      <a:prstGeom prst="rect"/>
                      <a:solidFill>
                        <a:srgbClr val="FFFFFF"/>
                      </a:solidFill>
                      <a:ln w="9525" cmpd="sng" cap="flat">
                        <a:solidFill>
                          <a:srgbClr val="000000"/>
                        </a:solidFill>
                        <a:prstDash val="solid"/>
                        <a:miter/>
                      </a:ln>
                    </wpg:grpSpPr>
                    <wps:wsp>
                      <wps:cNvPr id="48" name="矩形 48"/>
                      <wps:cNvSpPr/>
                      <wps:spPr>
                        <a:xfrm rot="0">
                          <a:off x="0" y="350510"/>
                          <a:ext cx="7550794" cy="49539"/>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49" name=" 49"/>
                      <wps:cNvSpPr/>
                      <wps:spPr>
                        <a:xfrm rot="0">
                          <a:off x="5886136" y="61415"/>
                          <a:ext cx="1658325" cy="292487"/>
                        </a:xfrm>
                        <a:custGeom>
                          <a:gdLst>
                            <a:gd name="T1" fmla="*/ 0 w 21600"/>
                            <a:gd name="T2" fmla="*/ 0 h 21600"/>
                            <a:gd name="T3" fmla="*/ 21600 w 21600"/>
                            <a:gd name="T4" fmla="*/ 21600 h 21600"/>
                          </a:gdLst>
                          <a:rect l="T1" t="T2" r="T3" b="T4"/>
                          <a:pathLst>
                            <a:path w="21600" h="21600">
                              <a:moveTo>
                                <a:pt x="4906" y="28"/>
                              </a:moveTo>
                              <a:lnTo>
                                <a:pt x="21600" y="0"/>
                              </a:lnTo>
                              <a:lnTo>
                                <a:pt x="21600" y="21601"/>
                              </a:lnTo>
                              <a:lnTo>
                                <a:pt x="0" y="21601"/>
                              </a:lnTo>
                              <a:lnTo>
                                <a:pt x="4906" y="28"/>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50" name=" 50"/>
                      <wps:cNvSpPr/>
                      <wps:spPr>
                        <a:xfrm rot="0">
                          <a:off x="6069762" y="0"/>
                          <a:ext cx="1484831" cy="375958"/>
                        </a:xfrm>
                        <a:custGeom>
                          <a:gdLst>
                            <a:gd name="T1" fmla="*/ 0 w 21600"/>
                            <a:gd name="T2" fmla="*/ 0 h 21600"/>
                            <a:gd name="T3" fmla="*/ 21600 w 21600"/>
                            <a:gd name="T4" fmla="*/ 21600 h 21600"/>
                          </a:gdLst>
                          <a:rect l="T1" t="T2" r="T3" b="T4"/>
                          <a:pathLst>
                            <a:path w="21600" h="21600">
                              <a:moveTo>
                                <a:pt x="5509" y="0"/>
                              </a:moveTo>
                              <a:lnTo>
                                <a:pt x="21599" y="169"/>
                              </a:lnTo>
                              <a:lnTo>
                                <a:pt x="21599" y="21599"/>
                              </a:lnTo>
                              <a:lnTo>
                                <a:pt x="0" y="21599"/>
                              </a:lnTo>
                              <a:lnTo>
                                <a:pt x="5509"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51" o:spid="_x0000_s51" coordorigin="0,1074" coordsize="11896,630" style="position:absolute;margin-left:0.0pt;margin-top:53.749996pt;width:594.84985pt;height:31.500006pt;z-index:111;mso-position-horizontal:absolute;mso-position-horizontal-relative:page;mso-position-vertical:absolute;mso-position-vertical-relative:page;mso-wrap-distance-left:8.999863pt;mso-wrap-distance-right:8.999863pt;">
              <v:rect type="#_x0000_t1" id="_s52" o:spid="_x0000_s52" style="position:absolute;left:0;top:1626;width:11891;height:78;" fillcolor="#FFD966" stroked="f">
                <v:stroke color="#000000"/>
              </v:rect>
              <v:shape type="#_x0000_t100" id="_s53" o:spid="_x0000_s53" style="position:absolute;left:9269;top:1171;width:2611;height:460;" fillcolor="#000000" stroked="f">
                <v:stroke color="#000000"/>
              </v:shape>
              <v:shape type="#_x0000_t100" id="_s54" o:spid="_x0000_s54" style="position:absolute;left:9558;top:1074;width:2338;height:592;" fillcolor="#FFD966" stroked="f">
                <v:stroke color="#000000"/>
              </v:shape>
            </v:group>
          </w:pict>
        </mc:Fallback>
      </mc:AlternateContent>
    </w:r>
    <w:r>
      <w:rPr>
        <w:sz w:val="18"/>
      </w:rPr>
      <mc:AlternateContent>
        <mc:Choice Requires="wps">
          <w:drawing>
            <wp:anchor distT="0" distB="0" distL="114298" distR="114298" simplePos="0" relativeHeight="113" behindDoc="0" locked="0" layoutInCell="1" hidden="0" allowOverlap="1">
              <wp:simplePos x="0" y="0"/>
              <wp:positionH relativeFrom="page">
                <wp:posOffset>-27304</wp:posOffset>
              </wp:positionH>
              <wp:positionV relativeFrom="page">
                <wp:posOffset>598805</wp:posOffset>
              </wp:positionV>
              <wp:extent cx="2994340" cy="407035"/>
              <wp:effectExtent l="0" t="0" r="0" b="0"/>
              <wp:wrapNone/>
              <wp:docPr id="55" name="组合"/>
              <wp:cNvGraphicFramePr>
                <a:graphicFrameLocks noChangeAspect="0"/>
              </wp:cNvGraphicFramePr>
              <a:graphic>
                <a:graphicData uri="http://schemas.microsoft.com/office/word/2010/wordprocessingGroup">
                  <wpg:wgp>
                    <wpg:cNvPr id="56" name="组合 56"/>
                    <wpg:cNvGrpSpPr/>
                    <wpg:grpSpPr>
                      <a:xfrm rot="0">
                        <a:off x="0" y="0"/>
                        <a:ext cx="2994340" cy="407035"/>
                        <a:chOff x="0" y="0"/>
                        <a:chExt cx="2994340" cy="407035"/>
                      </a:xfrm>
                      <a:prstGeom prst="rect"/>
                      <a:solidFill>
                        <a:srgbClr val="FFFFFF"/>
                      </a:solidFill>
                      <a:ln w="9525" cmpd="sng" cap="flat">
                        <a:solidFill>
                          <a:srgbClr val="000000"/>
                        </a:solidFill>
                        <a:prstDash val="solid"/>
                        <a:miter/>
                      </a:ln>
                    </wpg:grpSpPr>
                    <wps:wsp>
                      <wps:cNvPr id="57" name="文本框 57"/>
                      <wps:cNvSpPr/>
                      <wps:spPr>
                        <a:xfrm rot="0">
                          <a:off x="60818" y="0"/>
                          <a:ext cx="2933522" cy="407035"/>
                        </a:xfrm>
                        <a:prstGeom prst="rect"/>
                        <a:noFill/>
                        <a:ln w="9525" cmpd="sng" cap="flat">
                          <a:noFill/>
                          <a:prstDash val="solid"/>
                          <a:miter/>
                        </a:ln>
                      </wps:spPr>
                      <wps:txbx id="58">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第一部分  部门概况</w:t>
                            </w:r>
                          </w:p>
                        </w:txbxContent>
                      </wps:txbx>
                      <wps:bodyPr vert="horz" wrap="square" lIns="91440" tIns="45720" rIns="91440" bIns="45720" anchor="t" anchorCtr="0" upright="0">
                        <a:noAutofit/>
                      </wps:bodyPr>
                    </wps:wsp>
                    <wps:wsp>
                      <wps:cNvPr id="59" name="矩形 59"/>
                      <wps:cNvSpPr/>
                      <wps:spPr>
                        <a:xfrm rot="0">
                          <a:off x="0" y="104139"/>
                          <a:ext cx="113083"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60" o:spid="_x0000_s60" coordorigin="-42,943" coordsize="4715,641" style="position:absolute;margin-left:-2.1499975pt;margin-top:47.15pt;width:235.77487pt;height:32.050003pt;z-index:113;mso-position-horizontal:absolute;mso-position-horizontal-relative:page;mso-position-vertical:absolute;mso-position-vertical-relative:page;mso-wrap-distance-left:8.999863pt;mso-wrap-distance-right:8.999863pt;">
              <v:shape type="#_x0000_t202" id="_s61" o:spid="_x0000_s61" style="position:absolute;left:52;top:943;width:4619;height:641;mso-wrap-style:square;" filled="f" stroked="f">
                <v:textbox id="864" inset="2.54mm,1.27mm,2.54mm,1.27mm" o:insetmode="custom" style="layout-flow:horizontal;v-text-anchor:top;">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第一部分  部门概况</w:t>
                      </w:r>
                    </w:p>
                  </w:txbxContent>
                </v:textbox>
                <v:stroke color="#000000"/>
              </v:shape>
              <v:rect type="#_x0000_t1" id="_s62" o:spid="_x0000_s62" style="position:absolute;left:-42;top:1107;width:178;height:330;" fillcolor="#000000" stroked="f">
                <v:stroke color="#000000"/>
              </v:rect>
            </v:group>
          </w:pict>
        </mc:Fallback>
      </mc:AlternateContent>
    </w:r>
  </w:p>
</w:hdr>
</file>

<file path=word/header9.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99" behindDoc="0" locked="0" layoutInCell="1" hidden="0" allowOverlap="1">
              <wp:simplePos x="0" y="0"/>
              <wp:positionH relativeFrom="page">
                <wp:posOffset>34924</wp:posOffset>
              </wp:positionH>
              <wp:positionV relativeFrom="page">
                <wp:posOffset>596265</wp:posOffset>
              </wp:positionV>
              <wp:extent cx="7579994" cy="416560"/>
              <wp:effectExtent l="0" t="0" r="0" b="0"/>
              <wp:wrapNone/>
              <wp:docPr id="73" name="组合"/>
              <wp:cNvGraphicFramePr>
                <a:graphicFrameLocks noChangeAspect="0"/>
              </wp:cNvGraphicFramePr>
              <a:graphic>
                <a:graphicData uri="http://schemas.microsoft.com/office/word/2010/wordprocessingGroup">
                  <wpg:wgp>
                    <wpg:cNvPr id="74" name="组合 74"/>
                    <wpg:cNvGrpSpPr/>
                    <wpg:grpSpPr>
                      <a:xfrm rot="0">
                        <a:off x="0" y="0"/>
                        <a:ext cx="7579994" cy="416560"/>
                        <a:chOff x="0" y="0"/>
                        <a:chExt cx="7579994" cy="416560"/>
                      </a:xfrm>
                      <a:prstGeom prst="rect"/>
                      <a:solidFill>
                        <a:srgbClr val="FFFFFF"/>
                      </a:solidFill>
                      <a:ln w="9525" cmpd="sng" cap="flat">
                        <a:solidFill>
                          <a:srgbClr val="000000"/>
                        </a:solidFill>
                        <a:prstDash val="solid"/>
                        <a:miter/>
                      </a:ln>
                    </wpg:grpSpPr>
                    <wps:wsp>
                      <wps:cNvPr id="75" name="矩形 75"/>
                      <wps:cNvSpPr/>
                      <wps:spPr>
                        <a:xfrm rot="0">
                          <a:off x="0" y="364975"/>
                          <a:ext cx="7550868" cy="51584"/>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76" name=" 76"/>
                      <wps:cNvSpPr/>
                      <wps:spPr>
                        <a:xfrm rot="0">
                          <a:off x="5886193" y="63950"/>
                          <a:ext cx="1658341" cy="304558"/>
                        </a:xfrm>
                        <a:custGeom>
                          <a:gdLst>
                            <a:gd name="T1" fmla="*/ 0 w 21600"/>
                            <a:gd name="T2" fmla="*/ 0 h 21600"/>
                            <a:gd name="T3" fmla="*/ 21600 w 21600"/>
                            <a:gd name="T4" fmla="*/ 21600 h 21600"/>
                          </a:gdLst>
                          <a:rect l="T1" t="T2" r="T3" b="T4"/>
                          <a:pathLst>
                            <a:path w="21600" h="21600">
                              <a:moveTo>
                                <a:pt x="4906" y="27"/>
                              </a:moveTo>
                              <a:lnTo>
                                <a:pt x="21600" y="0"/>
                              </a:lnTo>
                              <a:lnTo>
                                <a:pt x="21600" y="21603"/>
                              </a:lnTo>
                              <a:lnTo>
                                <a:pt x="0" y="21603"/>
                              </a:lnTo>
                              <a:lnTo>
                                <a:pt x="4906" y="27"/>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77" name=" 77"/>
                      <wps:cNvSpPr/>
                      <wps:spPr>
                        <a:xfrm rot="0">
                          <a:off x="6069820" y="0"/>
                          <a:ext cx="1510173" cy="391121"/>
                        </a:xfrm>
                        <a:custGeom>
                          <a:gdLst>
                            <a:gd name="T1" fmla="*/ 0 w 21600"/>
                            <a:gd name="T2" fmla="*/ 0 h 21600"/>
                            <a:gd name="T3" fmla="*/ 21600 w 21600"/>
                            <a:gd name="T4" fmla="*/ 21600 h 21600"/>
                          </a:gdLst>
                          <a:rect l="T1" t="T2" r="T3" b="T4"/>
                          <a:pathLst>
                            <a:path w="21600" h="21600">
                              <a:moveTo>
                                <a:pt x="5509" y="0"/>
                              </a:moveTo>
                              <a:lnTo>
                                <a:pt x="21599" y="168"/>
                              </a:lnTo>
                              <a:lnTo>
                                <a:pt x="21599" y="21598"/>
                              </a:lnTo>
                              <a:lnTo>
                                <a:pt x="0" y="21598"/>
                              </a:lnTo>
                              <a:lnTo>
                                <a:pt x="5509"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78" o:spid="_x0000_s78" coordorigin="54,939" coordsize="11937,656" style="position:absolute;margin-left:2.749999pt;margin-top:46.95pt;width:596.85pt;height:32.800003pt;z-index:99;mso-position-horizontal:absolute;mso-position-horizontal-relative:page;mso-position-vertical:absolute;mso-position-vertical-relative:page;mso-wrap-distance-left:8.999863pt;mso-wrap-distance-right:8.999863pt;">
              <v:rect type="#_x0000_t1" id="_s79" o:spid="_x0000_s79" style="position:absolute;left:54;top:1513;width:11891;height:81;" fillcolor="#FFD966" stroked="f">
                <v:stroke color="#000000"/>
              </v:rect>
              <v:shape type="#_x0000_t100" id="_s80" o:spid="_x0000_s80" style="position:absolute;left:9324;top:1039;width:2611;height:479;" fillcolor="#000000" stroked="f">
                <v:stroke color="#000000"/>
              </v:shape>
              <v:shape type="#_x0000_t100" id="_s81" o:spid="_x0000_s81" style="position:absolute;left:9613;top:939;width:2378;height:615;" fillcolor="#FFD966" stroked="f">
                <v:stroke color="#000000"/>
              </v:shape>
            </v:group>
          </w:pict>
        </mc:Fallback>
      </mc:AlternateContent>
    </w:r>
    <w:r>
      <w:rPr>
        <w:sz w:val="18"/>
      </w:rPr>
      <mc:AlternateContent>
        <mc:Choice Requires="wps">
          <w:drawing>
            <wp:anchor distT="0" distB="0" distL="114298" distR="114298" simplePos="0" relativeHeight="101" behindDoc="0" locked="0" layoutInCell="1" hidden="0" allowOverlap="1">
              <wp:simplePos x="0" y="0"/>
              <wp:positionH relativeFrom="page">
                <wp:posOffset>24764</wp:posOffset>
              </wp:positionH>
              <wp:positionV relativeFrom="page">
                <wp:posOffset>598170</wp:posOffset>
              </wp:positionV>
              <wp:extent cx="2994340" cy="407035"/>
              <wp:effectExtent l="0" t="0" r="0" b="0"/>
              <wp:wrapNone/>
              <wp:docPr id="82" name="组合"/>
              <wp:cNvGraphicFramePr>
                <a:graphicFrameLocks noChangeAspect="0"/>
              </wp:cNvGraphicFramePr>
              <a:graphic>
                <a:graphicData uri="http://schemas.microsoft.com/office/word/2010/wordprocessingGroup">
                  <wpg:wgp>
                    <wpg:cNvPr id="83" name="组合 83"/>
                    <wpg:cNvGrpSpPr/>
                    <wpg:grpSpPr>
                      <a:xfrm rot="0">
                        <a:off x="0" y="0"/>
                        <a:ext cx="2994340" cy="407035"/>
                        <a:chOff x="0" y="0"/>
                        <a:chExt cx="2994340" cy="407035"/>
                      </a:xfrm>
                      <a:prstGeom prst="rect"/>
                      <a:solidFill>
                        <a:srgbClr val="FFFFFF"/>
                      </a:solidFill>
                      <a:ln w="9525" cmpd="sng" cap="flat">
                        <a:solidFill>
                          <a:srgbClr val="000000"/>
                        </a:solidFill>
                        <a:prstDash val="solid"/>
                        <a:miter/>
                      </a:ln>
                    </wpg:grpSpPr>
                    <wps:wsp>
                      <wps:cNvPr id="84" name="文本框 84"/>
                      <wps:cNvSpPr/>
                      <wps:spPr>
                        <a:xfrm rot="0">
                          <a:off x="60818" y="0"/>
                          <a:ext cx="2933522" cy="407035"/>
                        </a:xfrm>
                        <a:prstGeom prst="rect"/>
                        <a:noFill/>
                        <a:ln w="9525" cmpd="sng" cap="flat">
                          <a:noFill/>
                          <a:prstDash val="solid"/>
                          <a:miter/>
                        </a:ln>
                      </wps:spPr>
                      <wps:txbx id="85">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第二部分  部门决算情况说明</w:t>
                            </w:r>
                          </w:p>
                        </w:txbxContent>
                      </wps:txbx>
                      <wps:bodyPr vert="horz" wrap="square" lIns="91440" tIns="45720" rIns="91440" bIns="45720" anchor="t" anchorCtr="0" upright="0">
                        <a:noAutofit/>
                      </wps:bodyPr>
                    </wps:wsp>
                    <wps:wsp>
                      <wps:cNvPr id="86" name="矩形 86"/>
                      <wps:cNvSpPr/>
                      <wps:spPr>
                        <a:xfrm rot="0">
                          <a:off x="0" y="104139"/>
                          <a:ext cx="113083"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87" o:spid="_x0000_s87" coordorigin="38,941" coordsize="4715,641" style="position:absolute;margin-left:1.9499978pt;margin-top:47.1pt;width:235.77483pt;height:32.050003pt;z-index:101;mso-position-horizontal:absolute;mso-position-horizontal-relative:page;mso-position-vertical:absolute;mso-position-vertical-relative:page;mso-wrap-distance-left:8.999863pt;mso-wrap-distance-right:8.999863pt;">
              <v:shape type="#_x0000_t202" id="_s88" o:spid="_x0000_s88" style="position:absolute;left:134;top:941;width:4619;height:641;mso-wrap-style:square;" filled="f" stroked="f">
                <v:textbox id="865" inset="2.54mm,1.27mm,2.54mm,1.27mm" o:insetmode="custom" style="layout-flow:horizontal;v-text-anchor:top;">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第二部分  部门决算情况说明</w:t>
                      </w:r>
                    </w:p>
                  </w:txbxContent>
                </v:textbox>
                <v:stroke color="#000000"/>
              </v:shape>
              <v:rect type="#_x0000_t1" id="_s89" o:spid="_x0000_s89" style="position:absolute;left:38;top:1105;width:178;height:330;" fillcolor="#000000" stroked="f">
                <v:stroke color="#000000"/>
              </v:rect>
            </v:group>
          </w:pict>
        </mc:Fallback>
      </mc:AlternateContent>
    </w:r>
  </w:p>
</w:hdr>
</file>

<file path=word/header10.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103" behindDoc="0" locked="0" layoutInCell="1" hidden="0" allowOverlap="1">
              <wp:simplePos x="0" y="0"/>
              <wp:positionH relativeFrom="page">
                <wp:posOffset>0</wp:posOffset>
              </wp:positionH>
              <wp:positionV relativeFrom="page">
                <wp:posOffset>0</wp:posOffset>
              </wp:positionV>
              <wp:extent cx="7554593" cy="480695"/>
              <wp:effectExtent l="0" t="0" r="0" b="0"/>
              <wp:wrapNone/>
              <wp:docPr id="127" name="组合"/>
              <wp:cNvGraphicFramePr>
                <a:graphicFrameLocks noChangeAspect="0"/>
              </wp:cNvGraphicFramePr>
              <a:graphic>
                <a:graphicData uri="http://schemas.microsoft.com/office/word/2010/wordprocessingGroup">
                  <wpg:wgp>
                    <wpg:cNvPr id="128" name="组合 128"/>
                    <wpg:cNvGrpSpPr/>
                    <wpg:grpSpPr>
                      <a:xfrm rot="0">
                        <a:off x="0" y="0"/>
                        <a:ext cx="7554593" cy="480695"/>
                        <a:chOff x="0" y="0"/>
                        <a:chExt cx="7554593" cy="480695"/>
                      </a:xfrm>
                      <a:prstGeom prst="rect"/>
                      <a:solidFill>
                        <a:srgbClr val="FFFFFF"/>
                      </a:solidFill>
                      <a:ln w="9525" cmpd="sng" cap="flat">
                        <a:solidFill>
                          <a:srgbClr val="000000"/>
                        </a:solidFill>
                        <a:prstDash val="solid"/>
                        <a:miter/>
                      </a:ln>
                    </wpg:grpSpPr>
                    <wps:wsp>
                      <wps:cNvPr id="129" name="矩形 129"/>
                      <wps:cNvSpPr/>
                      <wps:spPr>
                        <a:xfrm rot="0">
                          <a:off x="0" y="421168"/>
                          <a:ext cx="7550794" cy="59526"/>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130" name=" 130"/>
                      <wps:cNvSpPr/>
                      <wps:spPr>
                        <a:xfrm rot="0">
                          <a:off x="5886136" y="73796"/>
                          <a:ext cx="1658325" cy="351449"/>
                        </a:xfrm>
                        <a:custGeom>
                          <a:gdLst>
                            <a:gd name="T1" fmla="*/ 0 w 21600"/>
                            <a:gd name="T2" fmla="*/ 0 h 21600"/>
                            <a:gd name="T3" fmla="*/ 21600 w 21600"/>
                            <a:gd name="T4" fmla="*/ 21600 h 21600"/>
                          </a:gdLst>
                          <a:rect l="T1" t="T2" r="T3" b="T4"/>
                          <a:pathLst>
                            <a:path w="21600" h="21600">
                              <a:moveTo>
                                <a:pt x="4906" y="23"/>
                              </a:moveTo>
                              <a:lnTo>
                                <a:pt x="21600" y="0"/>
                              </a:lnTo>
                              <a:lnTo>
                                <a:pt x="21600" y="21601"/>
                              </a:lnTo>
                              <a:lnTo>
                                <a:pt x="0" y="21601"/>
                              </a:lnTo>
                              <a:lnTo>
                                <a:pt x="4906" y="23"/>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131" name=" 131"/>
                      <wps:cNvSpPr/>
                      <wps:spPr>
                        <a:xfrm rot="0">
                          <a:off x="6069762" y="0"/>
                          <a:ext cx="1484831" cy="451747"/>
                        </a:xfrm>
                        <a:custGeom>
                          <a:gdLst>
                            <a:gd name="T1" fmla="*/ 0 w 21600"/>
                            <a:gd name="T2" fmla="*/ 0 h 21600"/>
                            <a:gd name="T3" fmla="*/ 21600 w 21600"/>
                            <a:gd name="T4" fmla="*/ 21600 h 21600"/>
                          </a:gdLst>
                          <a:rect l="T1" t="T2" r="T3" b="T4"/>
                          <a:pathLst>
                            <a:path w="21600" h="21600">
                              <a:moveTo>
                                <a:pt x="5509" y="0"/>
                              </a:moveTo>
                              <a:lnTo>
                                <a:pt x="21599" y="168"/>
                              </a:lnTo>
                              <a:lnTo>
                                <a:pt x="21599" y="21600"/>
                              </a:lnTo>
                              <a:lnTo>
                                <a:pt x="0" y="21600"/>
                              </a:lnTo>
                              <a:lnTo>
                                <a:pt x="5509"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32" o:spid="_x0000_s132" coordorigin="0,0" coordsize="11896,757" style="position:absolute;margin-left:0.0pt;margin-top:0.0pt;width:594.84985pt;height:37.850006pt;z-index:103;mso-position-horizontal:absolute;mso-position-horizontal-relative:page;mso-position-vertical:absolute;mso-position-vertical-relative:page;mso-wrap-distance-left:8.999863pt;mso-wrap-distance-right:8.999863pt;">
              <v:rect type="#_x0000_t1" id="_s133" o:spid="_x0000_s133" style="position:absolute;left:0;top:663;width:11891;height:93;" fillcolor="#FFD966" stroked="f">
                <v:stroke color="#000000"/>
              </v:rect>
              <v:shape type="#_x0000_t100" id="_s134" o:spid="_x0000_s134" style="position:absolute;left:9269;top:116;width:2611;height:553;" fillcolor="#000000" stroked="f">
                <v:stroke color="#000000"/>
              </v:shape>
              <v:shape type="#_x0000_t100" id="_s135" o:spid="_x0000_s135" style="position:absolute;left:9558;top:0;width:2338;height:711;" fillcolor="#FFD966" stroked="f">
                <v:stroke color="#000000"/>
              </v:shape>
            </v:group>
          </w:pict>
        </mc:Fallback>
      </mc:AlternateContent>
    </w:r>
    <w:r>
      <w:rPr>
        <w:sz w:val="18"/>
      </w:rPr>
      <mc:AlternateContent>
        <mc:Choice Requires="wps">
          <w:drawing>
            <wp:anchor distT="0" distB="0" distL="114298" distR="114298" simplePos="0" relativeHeight="105" behindDoc="0" locked="0" layoutInCell="1" hidden="0" allowOverlap="1">
              <wp:simplePos x="0" y="0"/>
              <wp:positionH relativeFrom="page">
                <wp:posOffset>-27304</wp:posOffset>
              </wp:positionH>
              <wp:positionV relativeFrom="page">
                <wp:posOffset>598805</wp:posOffset>
              </wp:positionV>
              <wp:extent cx="2994340" cy="407035"/>
              <wp:effectExtent l="0" t="0" r="0" b="0"/>
              <wp:wrapNone/>
              <wp:docPr id="136" name="组合"/>
              <wp:cNvGraphicFramePr>
                <a:graphicFrameLocks noChangeAspect="0"/>
              </wp:cNvGraphicFramePr>
              <a:graphic>
                <a:graphicData uri="http://schemas.microsoft.com/office/word/2010/wordprocessingGroup">
                  <wpg:wgp>
                    <wpg:cNvPr id="137" name="组合 137"/>
                    <wpg:cNvGrpSpPr/>
                    <wpg:grpSpPr>
                      <a:xfrm rot="0">
                        <a:off x="0" y="0"/>
                        <a:ext cx="2994340" cy="407035"/>
                        <a:chOff x="0" y="0"/>
                        <a:chExt cx="2994340" cy="407035"/>
                      </a:xfrm>
                      <a:prstGeom prst="rect"/>
                      <a:solidFill>
                        <a:srgbClr val="FFFFFF"/>
                      </a:solidFill>
                      <a:ln w="9525" cmpd="sng" cap="flat">
                        <a:solidFill>
                          <a:srgbClr val="000000"/>
                        </a:solidFill>
                        <a:prstDash val="solid"/>
                        <a:miter/>
                      </a:ln>
                    </wpg:grpSpPr>
                    <wps:wsp>
                      <wps:cNvPr id="138" name="文本框 138"/>
                      <wps:cNvSpPr/>
                      <wps:spPr>
                        <a:xfrm rot="0">
                          <a:off x="60818" y="0"/>
                          <a:ext cx="2933522" cy="407035"/>
                        </a:xfrm>
                        <a:prstGeom prst="rect"/>
                        <a:noFill/>
                        <a:ln w="9525" cmpd="sng" cap="flat">
                          <a:noFill/>
                          <a:prstDash val="solid"/>
                          <a:miter/>
                        </a:ln>
                      </wps:spPr>
                      <wps:txbx id="139">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第三部分  名词解释</w:t>
                            </w:r>
                          </w:p>
                        </w:txbxContent>
                      </wps:txbx>
                      <wps:bodyPr vert="horz" wrap="square" lIns="91440" tIns="45720" rIns="91440" bIns="45720" anchor="t" anchorCtr="0" upright="0">
                        <a:noAutofit/>
                      </wps:bodyPr>
                    </wps:wsp>
                    <wps:wsp>
                      <wps:cNvPr id="140" name="矩形 140"/>
                      <wps:cNvSpPr/>
                      <wps:spPr>
                        <a:xfrm rot="0">
                          <a:off x="0" y="104139"/>
                          <a:ext cx="113083"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41" o:spid="_x0000_s141" coordorigin="-42,943" coordsize="4715,641" style="position:absolute;margin-left:-2.1499975pt;margin-top:47.15pt;width:235.77487pt;height:32.050003pt;z-index:105;mso-position-horizontal:absolute;mso-position-horizontal-relative:page;mso-position-vertical:absolute;mso-position-vertical-relative:page;mso-wrap-distance-left:8.999863pt;mso-wrap-distance-right:8.999863pt;">
              <v:shape type="#_x0000_t202" id="_s142" o:spid="_x0000_s142" style="position:absolute;left:52;top:943;width:4619;height:641;mso-wrap-style:square;" filled="f" stroked="f">
                <v:textbox id="866" inset="2.54mm,1.27mm,2.54mm,1.27mm" o:insetmode="custom" style="layout-flow:horizontal;v-text-anchor:top;">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第三部分  名词解释</w:t>
                      </w:r>
                    </w:p>
                  </w:txbxContent>
                </v:textbox>
                <v:stroke color="#000000"/>
              </v:shape>
              <v:rect type="#_x0000_t1" id="_s143" o:spid="_x0000_s143" style="position:absolute;left:-42;top:1107;width:178;height:330;" fillcolor="#000000" stroked="f">
                <v:stroke color="#000000"/>
              </v:rect>
            </v:group>
          </w:pict>
        </mc:Fallback>
      </mc:AlternateContent>
    </w:r>
  </w:p>
</w:hdr>
</file>

<file path=word/header1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109" behindDoc="0" locked="0" layoutInCell="1" hidden="0" allowOverlap="1">
              <wp:simplePos x="0" y="0"/>
              <wp:positionH relativeFrom="page">
                <wp:align>left</wp:align>
              </wp:positionH>
              <wp:positionV relativeFrom="page">
                <wp:posOffset>377825</wp:posOffset>
              </wp:positionV>
              <wp:extent cx="2000885" cy="407035"/>
              <wp:effectExtent l="0" t="0" r="0" b="0"/>
              <wp:wrapNone/>
              <wp:docPr id="144" name="组合"/>
              <wp:cNvGraphicFramePr>
                <a:graphicFrameLocks noChangeAspect="0"/>
              </wp:cNvGraphicFramePr>
              <a:graphic>
                <a:graphicData uri="http://schemas.microsoft.com/office/word/2010/wordprocessingGroup">
                  <wpg:wgp>
                    <wpg:cNvPr id="145" name="组合 145"/>
                    <wpg:cNvGrpSpPr/>
                    <wpg:grpSpPr>
                      <a:xfrm rot="0">
                        <a:off x="0" y="0"/>
                        <a:ext cx="2000885" cy="407035"/>
                        <a:chOff x="0" y="0"/>
                        <a:chExt cx="2000885" cy="407035"/>
                      </a:xfrm>
                      <a:prstGeom prst="rect"/>
                      <a:solidFill>
                        <a:srgbClr val="FFFFFF"/>
                      </a:solidFill>
                      <a:ln w="9525" cmpd="sng" cap="flat">
                        <a:solidFill>
                          <a:srgbClr val="000000"/>
                        </a:solidFill>
                        <a:prstDash val="solid"/>
                        <a:miter/>
                      </a:ln>
                    </wpg:grpSpPr>
                    <wps:wsp>
                      <wps:cNvPr id="146" name="文本框 146"/>
                      <wps:cNvSpPr/>
                      <wps:spPr>
                        <a:xfrm rot="0">
                          <a:off x="40640" y="0"/>
                          <a:ext cx="1960245" cy="407035"/>
                        </a:xfrm>
                        <a:prstGeom prst="rect"/>
                        <a:noFill/>
                        <a:ln w="9525" cmpd="sng" cap="flat">
                          <a:noFill/>
                          <a:prstDash val="solid"/>
                          <a:miter/>
                        </a:ln>
                      </wps:spPr>
                      <wps:txbx id="147">
                        <w:txbxContent>
                          <w:p>
                            <w:pPr>
                              <w:rPr>
                                <w:rFonts w:ascii="微软雅黑" w:eastAsia="微软雅黑" w:cs="微软雅黑" w:hint="eastAsia"/>
                                <w:b/>
                                <w:bCs/>
                                <w:sz w:val="28"/>
                                <w:szCs w:val="36"/>
                                <w:lang w:val="en-US" w:eastAsia="zh-CN"/>
                              </w:rPr>
                            </w:pPr>
                            <w:r>
                              <w:rPr>
                                <w:rFonts w:ascii="微软雅黑" w:eastAsia="微软雅黑" w:cs="微软雅黑" w:hint="eastAsia"/>
                                <w:b/>
                                <w:bCs/>
                                <w:sz w:val="28"/>
                                <w:szCs w:val="36"/>
                                <w:lang w:val="en-US" w:eastAsia="zh-CN"/>
                              </w:rPr>
                              <w:t>20XX 企业业务制定</w:t>
                            </w:r>
                          </w:p>
                        </w:txbxContent>
                      </wps:txbx>
                      <wps:bodyPr vert="horz" wrap="square" lIns="91440" tIns="45720" rIns="91440" bIns="45720" anchor="t" anchorCtr="0" upright="0">
                        <a:noAutofit/>
                      </wps:bodyPr>
                    </wps:wsp>
                    <wps:wsp>
                      <wps:cNvPr id="148" name="矩形 148"/>
                      <wps:cNvSpPr/>
                      <wps:spPr>
                        <a:xfrm rot="0">
                          <a:off x="0" y="104139"/>
                          <a:ext cx="75565"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49" o:spid="_x0000_s149" coordorigin="0,595" coordsize="3151,641" style="position:absolute;margin-left:0.0pt;margin-top:29.75pt;width:157.55002pt;height:32.050003pt;z-index:109;mso-position-horizontal:left;mso-position-horizontal-relative:page;mso-position-vertical:absolute;mso-position-vertical-relative:page;mso-wrap-distance-left:8.999863pt;mso-wrap-distance-right:8.999863pt;">
              <v:shape type="#_x0000_t202" id="_s150" o:spid="_x0000_s150" style="position:absolute;left:64;top:595;width:3087;height:641;mso-wrap-style:square;" filled="f" stroked="f">
                <v:textbox id="867" inset="2.54mm,1.27mm,2.54mm,1.27mm" o:insetmode="custom" style="layout-flow:horizontal;v-text-anchor:top;">
                  <w:txbxContent>
                    <w:p>
                      <w:pPr>
                        <w:rPr>
                          <w:rFonts w:ascii="微软雅黑" w:eastAsia="微软雅黑" w:cs="微软雅黑" w:hint="eastAsia"/>
                          <w:b/>
                          <w:bCs/>
                          <w:sz w:val="28"/>
                          <w:szCs w:val="36"/>
                          <w:lang w:val="en-US" w:eastAsia="zh-CN"/>
                        </w:rPr>
                      </w:pPr>
                      <w:r>
                        <w:rPr>
                          <w:rFonts w:ascii="微软雅黑" w:eastAsia="微软雅黑" w:cs="微软雅黑" w:hint="eastAsia"/>
                          <w:b/>
                          <w:bCs/>
                          <w:sz w:val="28"/>
                          <w:szCs w:val="36"/>
                          <w:lang w:val="en-US" w:eastAsia="zh-CN"/>
                        </w:rPr>
                        <w:t>20XX 企业业务制定</w:t>
                      </w:r>
                    </w:p>
                  </w:txbxContent>
                </v:textbox>
                <v:stroke color="#000000"/>
              </v:shape>
              <v:rect type="#_x0000_t1" id="_s151" o:spid="_x0000_s151" style="position:absolute;left:0;top:758;width:119;height:330;" fillcolor="#000000" stroked="f">
                <v:stroke color="#000000"/>
              </v:rect>
            </v:group>
          </w:pict>
        </mc:Fallback>
      </mc:AlternateContent>
    </w:r>
    <w:r>
      <w:rPr>
        <w:sz w:val="18"/>
      </w:rPr>
      <mc:AlternateContent>
        <mc:Choice Requires="wps">
          <w:drawing>
            <wp:anchor distT="0" distB="0" distL="114298" distR="114298" simplePos="0" relativeHeight="107" behindDoc="0" locked="0" layoutInCell="1" hidden="0" allowOverlap="1">
              <wp:simplePos x="0" y="0"/>
              <wp:positionH relativeFrom="page">
                <wp:posOffset>0</wp:posOffset>
              </wp:positionH>
              <wp:positionV relativeFrom="page">
                <wp:posOffset>0</wp:posOffset>
              </wp:positionV>
              <wp:extent cx="7576185" cy="748665"/>
              <wp:effectExtent l="0" t="0" r="0" b="0"/>
              <wp:wrapNone/>
              <wp:docPr id="152" name="组合"/>
              <wp:cNvGraphicFramePr>
                <a:graphicFrameLocks noChangeAspect="0"/>
              </wp:cNvGraphicFramePr>
              <a:graphic>
                <a:graphicData uri="http://schemas.microsoft.com/office/word/2010/wordprocessingGroup">
                  <wpg:wgp>
                    <wpg:cNvPr id="153" name="组合 153"/>
                    <wpg:cNvGrpSpPr/>
                    <wpg:grpSpPr>
                      <a:xfrm rot="0">
                        <a:off x="0" y="0"/>
                        <a:ext cx="7576185" cy="748665"/>
                        <a:chOff x="0" y="0"/>
                        <a:chExt cx="7576185" cy="748665"/>
                      </a:xfrm>
                      <a:prstGeom prst="rect"/>
                      <a:solidFill>
                        <a:srgbClr val="FFFFFF"/>
                      </a:solidFill>
                      <a:ln w="9525" cmpd="sng" cap="flat">
                        <a:solidFill>
                          <a:srgbClr val="000000"/>
                        </a:solidFill>
                        <a:prstDash val="solid"/>
                        <a:miter/>
                      </a:ln>
                    </wpg:grpSpPr>
                    <wps:wsp>
                      <wps:cNvPr id="154" name="矩形 154"/>
                      <wps:cNvSpPr/>
                      <wps:spPr>
                        <a:xfrm rot="0">
                          <a:off x="0" y="655955"/>
                          <a:ext cx="7572375" cy="92710"/>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155" name=" 155"/>
                      <wps:cNvSpPr/>
                      <wps:spPr>
                        <a:xfrm rot="0">
                          <a:off x="5902960" y="114935"/>
                          <a:ext cx="1663065" cy="547370"/>
                        </a:xfrm>
                        <a:custGeom>
                          <a:gdLst>
                            <a:gd name="T1" fmla="*/ 0 w 21600"/>
                            <a:gd name="T2" fmla="*/ 0 h 21600"/>
                            <a:gd name="T3" fmla="*/ 21600 w 21600"/>
                            <a:gd name="T4" fmla="*/ 21600 h 21600"/>
                          </a:gdLst>
                          <a:rect l="T1" t="T2" r="T3" b="T4"/>
                          <a:pathLst>
                            <a:path w="21600" h="21600">
                              <a:moveTo>
                                <a:pt x="4907" y="26"/>
                              </a:moveTo>
                              <a:lnTo>
                                <a:pt x="21599" y="0"/>
                              </a:lnTo>
                              <a:lnTo>
                                <a:pt x="21599" y="21600"/>
                              </a:lnTo>
                              <a:lnTo>
                                <a:pt x="0" y="21600"/>
                              </a:lnTo>
                              <a:lnTo>
                                <a:pt x="4907" y="26"/>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156" name=" 156"/>
                      <wps:cNvSpPr/>
                      <wps:spPr>
                        <a:xfrm rot="0">
                          <a:off x="6087110" y="0"/>
                          <a:ext cx="1489074" cy="703580"/>
                        </a:xfrm>
                        <a:custGeom>
                          <a:gdLst>
                            <a:gd name="T1" fmla="*/ 0 w 21600"/>
                            <a:gd name="T2" fmla="*/ 0 h 21600"/>
                            <a:gd name="T3" fmla="*/ 21600 w 21600"/>
                            <a:gd name="T4" fmla="*/ 21600 h 21600"/>
                          </a:gdLst>
                          <a:rect l="T1" t="T2" r="T3" b="T4"/>
                          <a:pathLst>
                            <a:path w="21600" h="21600">
                              <a:moveTo>
                                <a:pt x="5508" y="0"/>
                              </a:moveTo>
                              <a:lnTo>
                                <a:pt x="21600" y="169"/>
                              </a:lnTo>
                              <a:lnTo>
                                <a:pt x="21600" y="21600"/>
                              </a:lnTo>
                              <a:lnTo>
                                <a:pt x="0" y="21600"/>
                              </a:lnTo>
                              <a:lnTo>
                                <a:pt x="5508"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57" o:spid="_x0000_s157" coordorigin="0,0" coordsize="11931,1179" style="position:absolute;margin-left:0.0pt;margin-top:0.0pt;width:596.55pt;height:58.95pt;z-index:107;mso-position-horizontal:absolute;mso-position-horizontal-relative:page;mso-position-vertical:absolute;mso-position-vertical-relative:page;mso-wrap-distance-left:8.999863pt;mso-wrap-distance-right:8.999863pt;">
              <v:rect type="#_x0000_t1" id="_s158" o:spid="_x0000_s158" style="position:absolute;left:0;top:1033;width:11925;height:146;" fillcolor="#FFD966" stroked="f">
                <v:stroke color="#000000"/>
              </v:rect>
              <v:shape type="#_x0000_t100" id="_s159" o:spid="_x0000_s159" style="position:absolute;left:9295;top:181;width:2619;height:862;" fillcolor="#000000" stroked="f">
                <v:stroke color="#000000"/>
              </v:shape>
              <v:shape type="#_x0000_t100" id="_s160" o:spid="_x0000_s160" style="position:absolute;left:9586;top:0;width:2344;height:1108;" fillcolor="#FFD966" stroked="f">
                <v:stroke color="#000000"/>
              </v:shape>
            </v:group>
          </w:pict>
        </mc:Fallback>
      </mc:AlternateContent>
    </w:r>
  </w:p>
</w:hdr>
</file>

<file path=word/header1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1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header14.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129" behindDoc="0" locked="0" layoutInCell="1" hidden="0" allowOverlap="1">
              <wp:simplePos x="0" y="0"/>
              <wp:positionH relativeFrom="page">
                <wp:posOffset>31750</wp:posOffset>
              </wp:positionH>
              <wp:positionV relativeFrom="page">
                <wp:posOffset>365124</wp:posOffset>
              </wp:positionV>
              <wp:extent cx="7554593" cy="447675"/>
              <wp:effectExtent l="0" t="0" r="0" b="0"/>
              <wp:wrapNone/>
              <wp:docPr id="175" name="组合"/>
              <wp:cNvGraphicFramePr>
                <a:graphicFrameLocks noChangeAspect="0"/>
              </wp:cNvGraphicFramePr>
              <a:graphic>
                <a:graphicData uri="http://schemas.microsoft.com/office/word/2010/wordprocessingGroup">
                  <wpg:wgp>
                    <wpg:cNvPr id="176" name="组合 176"/>
                    <wpg:cNvGrpSpPr/>
                    <wpg:grpSpPr>
                      <a:xfrm rot="0">
                        <a:off x="0" y="0"/>
                        <a:ext cx="7554593" cy="447675"/>
                        <a:chOff x="0" y="0"/>
                        <a:chExt cx="7554593" cy="447675"/>
                      </a:xfrm>
                      <a:prstGeom prst="rect"/>
                      <a:solidFill>
                        <a:srgbClr val="FFFFFF"/>
                      </a:solidFill>
                      <a:ln w="9525" cmpd="sng" cap="flat">
                        <a:solidFill>
                          <a:srgbClr val="000000"/>
                        </a:solidFill>
                        <a:prstDash val="solid"/>
                        <a:miter/>
                      </a:ln>
                    </wpg:grpSpPr>
                    <wps:wsp>
                      <wps:cNvPr id="177" name="矩形 177"/>
                      <wps:cNvSpPr/>
                      <wps:spPr>
                        <a:xfrm rot="0">
                          <a:off x="0" y="392237"/>
                          <a:ext cx="7550794" cy="55437"/>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178" name=" 178"/>
                      <wps:cNvSpPr/>
                      <wps:spPr>
                        <a:xfrm rot="0">
                          <a:off x="5886136" y="68727"/>
                          <a:ext cx="1658325" cy="327307"/>
                        </a:xfrm>
                        <a:custGeom>
                          <a:gdLst>
                            <a:gd name="T1" fmla="*/ 0 w 21600"/>
                            <a:gd name="T2" fmla="*/ 0 h 21600"/>
                            <a:gd name="T3" fmla="*/ 21600 w 21600"/>
                            <a:gd name="T4" fmla="*/ 21600 h 21600"/>
                          </a:gdLst>
                          <a:rect l="T1" t="T2" r="T3" b="T4"/>
                          <a:pathLst>
                            <a:path w="21600" h="21600">
                              <a:moveTo>
                                <a:pt x="4906" y="25"/>
                              </a:moveTo>
                              <a:lnTo>
                                <a:pt x="21600" y="0"/>
                              </a:lnTo>
                              <a:lnTo>
                                <a:pt x="21600" y="21597"/>
                              </a:lnTo>
                              <a:lnTo>
                                <a:pt x="0" y="21597"/>
                              </a:lnTo>
                              <a:lnTo>
                                <a:pt x="4906" y="25"/>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179" name=" 179"/>
                      <wps:cNvSpPr/>
                      <wps:spPr>
                        <a:xfrm rot="0">
                          <a:off x="6069762" y="0"/>
                          <a:ext cx="1484831" cy="420715"/>
                        </a:xfrm>
                        <a:custGeom>
                          <a:gdLst>
                            <a:gd name="T1" fmla="*/ 0 w 21600"/>
                            <a:gd name="T2" fmla="*/ 0 h 21600"/>
                            <a:gd name="T3" fmla="*/ 21600 w 21600"/>
                            <a:gd name="T4" fmla="*/ 21600 h 21600"/>
                          </a:gdLst>
                          <a:rect l="T1" t="T2" r="T3" b="T4"/>
                          <a:pathLst>
                            <a:path w="21600" h="21600">
                              <a:moveTo>
                                <a:pt x="5509" y="0"/>
                              </a:moveTo>
                              <a:lnTo>
                                <a:pt x="21599" y="171"/>
                              </a:lnTo>
                              <a:lnTo>
                                <a:pt x="21599" y="21599"/>
                              </a:lnTo>
                              <a:lnTo>
                                <a:pt x="0" y="21599"/>
                              </a:lnTo>
                              <a:lnTo>
                                <a:pt x="5509"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80" o:spid="_x0000_s180" coordorigin="50,574" coordsize="11896,705" style="position:absolute;margin-left:2.500001pt;margin-top:28.749998pt;width:594.84985pt;height:35.250008pt;z-index:129;mso-position-horizontal:absolute;mso-position-horizontal-relative:page;mso-position-vertical:absolute;mso-position-vertical-relative:page;mso-wrap-distance-left:8.999863pt;mso-wrap-distance-right:8.999863pt;">
              <v:rect type="#_x0000_t1" id="_s181" o:spid="_x0000_s181" style="position:absolute;left:50;top:1192;width:11891;height:87;" fillcolor="#FFD966" stroked="f">
                <v:stroke color="#000000"/>
              </v:rect>
              <v:shape type="#_x0000_t100" id="_s182" o:spid="_x0000_s182" style="position:absolute;left:9319;top:683;width:2611;height:515;" fillcolor="#000000" stroked="f">
                <v:stroke color="#000000"/>
              </v:shape>
              <v:shape type="#_x0000_t100" id="_s183" o:spid="_x0000_s183" style="position:absolute;left:9608;top:574;width:2338;height:662;" fillcolor="#FFD966" stroked="f">
                <v:stroke color="#000000"/>
              </v:shape>
            </v:group>
          </w:pict>
        </mc:Fallback>
      </mc:AlternateContent>
    </w:r>
    <w:r>
      <w:rPr>
        <w:sz w:val="18"/>
      </w:rPr>
      <mc:AlternateContent>
        <mc:Choice Requires="wps">
          <w:drawing>
            <wp:anchor distT="0" distB="0" distL="114298" distR="114298" simplePos="0" relativeHeight="131" behindDoc="0" locked="0" layoutInCell="1" hidden="0" allowOverlap="1">
              <wp:simplePos x="0" y="0"/>
              <wp:positionH relativeFrom="page">
                <wp:posOffset>0</wp:posOffset>
              </wp:positionH>
              <wp:positionV relativeFrom="page">
                <wp:posOffset>377825</wp:posOffset>
              </wp:positionV>
              <wp:extent cx="3557129" cy="407035"/>
              <wp:effectExtent l="0" t="0" r="0" b="0"/>
              <wp:wrapNone/>
              <wp:docPr id="184" name="组合"/>
              <wp:cNvGraphicFramePr>
                <a:graphicFrameLocks noChangeAspect="0"/>
              </wp:cNvGraphicFramePr>
              <a:graphic>
                <a:graphicData uri="http://schemas.microsoft.com/office/word/2010/wordprocessingGroup">
                  <wpg:wgp>
                    <wpg:cNvPr id="185" name="组合 185"/>
                    <wpg:cNvGrpSpPr/>
                    <wpg:grpSpPr>
                      <a:xfrm rot="0">
                        <a:off x="0" y="0"/>
                        <a:ext cx="3557129" cy="407035"/>
                        <a:chOff x="0" y="0"/>
                        <a:chExt cx="3557129" cy="407035"/>
                      </a:xfrm>
                      <a:prstGeom prst="rect"/>
                      <a:solidFill>
                        <a:srgbClr val="FFFFFF"/>
                      </a:solidFill>
                      <a:ln w="9525" cmpd="sng" cap="flat">
                        <a:solidFill>
                          <a:srgbClr val="000000"/>
                        </a:solidFill>
                        <a:prstDash val="solid"/>
                        <a:miter/>
                      </a:ln>
                    </wpg:grpSpPr>
                    <wps:wsp>
                      <wps:cNvPr id="186" name="文本框 186"/>
                      <wps:cNvSpPr/>
                      <wps:spPr>
                        <a:xfrm rot="0">
                          <a:off x="72248" y="0"/>
                          <a:ext cx="3484880" cy="407035"/>
                        </a:xfrm>
                        <a:prstGeom prst="rect"/>
                        <a:noFill/>
                        <a:ln w="9525" cmpd="sng" cap="flat">
                          <a:noFill/>
                          <a:prstDash val="solid"/>
                          <a:miter/>
                        </a:ln>
                      </wps:spPr>
                      <wps:txbx id="187">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第四部分 2019年度部门决算报表</w:t>
                            </w:r>
                          </w:p>
                          <w:p>
                            <w:pPr>
                              <w:rPr>
                                <w:rFonts w:hint="eastAsia"/>
                                <w:lang w:val="en-US" w:eastAsia="zh-CN"/>
                              </w:rPr>
                            </w:pPr>
                          </w:p>
                        </w:txbxContent>
                      </wps:txbx>
                      <wps:bodyPr vert="horz" wrap="square" lIns="91440" tIns="45720" rIns="91440" bIns="45720" anchor="t" anchorCtr="0" upright="0">
                        <a:noAutofit/>
                      </wps:bodyPr>
                    </wps:wsp>
                    <wps:wsp>
                      <wps:cNvPr id="188" name="矩形 188"/>
                      <wps:cNvSpPr/>
                      <wps:spPr>
                        <a:xfrm rot="0">
                          <a:off x="0" y="104139"/>
                          <a:ext cx="134337"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89" o:spid="_x0000_s189" coordorigin="0,595" coordsize="5601,641" style="position:absolute;margin-left:0.0pt;margin-top:29.75pt;width:280.08893pt;height:32.050003pt;z-index:131;mso-position-horizontal:absolute;mso-position-horizontal-relative:page;mso-position-vertical:absolute;mso-position-vertical-relative:page;mso-wrap-distance-left:8.999863pt;mso-wrap-distance-right:8.999863pt;">
              <v:shape type="#_x0000_t202" id="_s190" o:spid="_x0000_s190" style="position:absolute;left:113;top:595;width:5488;height:641;mso-wrap-style:square;" filled="f" stroked="f">
                <v:textbox id="868" inset="2.54mm,1.27mm,2.54mm,1.27mm" o:insetmode="custom" style="layout-flow:horizontal;v-text-anchor:top;">
                  <w:txbxContent>
                    <w:p>
                      <w:pPr>
                        <w:rPr>
                          <w:rFonts w:ascii="微软雅黑" w:eastAsia="微软雅黑" w:cs="微软雅黑"/>
                          <w:b/>
                          <w:bCs/>
                          <w:sz w:val="32"/>
                          <w:szCs w:val="40"/>
                          <w:lang w:val="en-US" w:eastAsia="zh-CN"/>
                        </w:rPr>
                      </w:pPr>
                      <w:r>
                        <w:rPr>
                          <w:rFonts w:ascii="微软雅黑" w:eastAsia="微软雅黑" w:cs="微软雅黑" w:hint="eastAsia"/>
                          <w:b/>
                          <w:bCs/>
                          <w:sz w:val="32"/>
                          <w:szCs w:val="40"/>
                          <w:lang w:val="en-US" w:eastAsia="zh-CN"/>
                        </w:rPr>
                        <w:t>第四部分 2019年度部门决算报表</w:t>
                      </w:r>
                    </w:p>
                    <w:p>
                      <w:pPr>
                        <w:rPr>
                          <w:rFonts w:hint="eastAsia"/>
                          <w:lang w:val="en-US" w:eastAsia="zh-CN"/>
                        </w:rPr>
                      </w:pPr>
                    </w:p>
                  </w:txbxContent>
                </v:textbox>
                <v:stroke color="#000000"/>
              </v:shape>
              <v:rect type="#_x0000_t1" id="_s191" o:spid="_x0000_s191" style="position:absolute;left:0;top:758;width:211;height:330;" fillcolor="#000000" stroked="f">
                <v:stroke color="#000000"/>
              </v:rect>
            </v:group>
          </w:pict>
        </mc:Fallback>
      </mc:AlternateContent>
    </w:r>
  </w:p>
</w:hdr>
</file>

<file path=word/header15.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r>
      <w:rPr>
        <w:sz w:val="18"/>
      </w:rPr>
      <mc:AlternateContent>
        <mc:Choice Requires="wps">
          <w:drawing>
            <wp:anchor distT="0" distB="0" distL="114298" distR="114298" simplePos="0" relativeHeight="123" behindDoc="0" locked="0" layoutInCell="1" hidden="0" allowOverlap="1">
              <wp:simplePos x="0" y="0"/>
              <wp:positionH relativeFrom="page">
                <wp:posOffset>0</wp:posOffset>
              </wp:positionH>
              <wp:positionV relativeFrom="page">
                <wp:posOffset>0</wp:posOffset>
              </wp:positionV>
              <wp:extent cx="7576185" cy="483235"/>
              <wp:effectExtent l="0" t="0" r="0" b="0"/>
              <wp:wrapNone/>
              <wp:docPr id="192" name="组合"/>
              <wp:cNvGraphicFramePr>
                <a:graphicFrameLocks noChangeAspect="0"/>
              </wp:cNvGraphicFramePr>
              <a:graphic>
                <a:graphicData uri="http://schemas.microsoft.com/office/word/2010/wordprocessingGroup">
                  <wpg:wgp>
                    <wpg:cNvPr id="193" name="组合 193"/>
                    <wpg:cNvGrpSpPr/>
                    <wpg:grpSpPr>
                      <a:xfrm rot="0">
                        <a:off x="0" y="0"/>
                        <a:ext cx="7576185" cy="483235"/>
                        <a:chOff x="0" y="0"/>
                        <a:chExt cx="7576185" cy="483235"/>
                      </a:xfrm>
                      <a:prstGeom prst="rect"/>
                      <a:solidFill>
                        <a:srgbClr val="FFFFFF"/>
                      </a:solidFill>
                      <a:ln w="9525" cmpd="sng" cap="flat">
                        <a:solidFill>
                          <a:srgbClr val="000000"/>
                        </a:solidFill>
                        <a:prstDash val="solid"/>
                        <a:miter/>
                      </a:ln>
                    </wpg:grpSpPr>
                    <wps:wsp>
                      <wps:cNvPr id="194" name="矩形 194"/>
                      <wps:cNvSpPr/>
                      <wps:spPr>
                        <a:xfrm rot="0">
                          <a:off x="0" y="423394"/>
                          <a:ext cx="7572375" cy="59840"/>
                        </a:xfrm>
                        <a:prstGeom prst="rect"/>
                        <a:solidFill>
                          <a:srgbClr val="FFD966"/>
                        </a:solidFill>
                        <a:ln w="9525" cmpd="sng" cap="flat">
                          <a:noFill/>
                          <a:prstDash val="solid"/>
                          <a:miter/>
                        </a:ln>
                      </wps:spPr>
                      <wps:bodyPr vert="horz" wrap="square" lIns="91440" tIns="45720" rIns="91440" bIns="45720" anchor="ctr" anchorCtr="0" upright="1">
                        <a:noAutofit/>
                      </wps:bodyPr>
                    </wps:wsp>
                    <wps:wsp>
                      <wps:cNvPr id="195" name=" 195"/>
                      <wps:cNvSpPr/>
                      <wps:spPr>
                        <a:xfrm rot="0">
                          <a:off x="5902960" y="74186"/>
                          <a:ext cx="1663065" cy="353306"/>
                        </a:xfrm>
                        <a:custGeom>
                          <a:gdLst>
                            <a:gd name="T1" fmla="*/ 0 w 21600"/>
                            <a:gd name="T2" fmla="*/ 0 h 21600"/>
                            <a:gd name="T3" fmla="*/ 21600 w 21600"/>
                            <a:gd name="T4" fmla="*/ 21600 h 21600"/>
                          </a:gdLst>
                          <a:rect l="T1" t="T2" r="T3" b="T4"/>
                          <a:pathLst>
                            <a:path w="21600" h="21600">
                              <a:moveTo>
                                <a:pt x="4907" y="23"/>
                              </a:moveTo>
                              <a:lnTo>
                                <a:pt x="21599" y="0"/>
                              </a:lnTo>
                              <a:lnTo>
                                <a:pt x="21599" y="21598"/>
                              </a:lnTo>
                              <a:lnTo>
                                <a:pt x="0" y="21598"/>
                              </a:lnTo>
                              <a:lnTo>
                                <a:pt x="4907" y="23"/>
                              </a:lnTo>
                              <a:close/>
                            </a:path>
                          </a:pathLst>
                        </a:custGeom>
                        <a:solidFill>
                          <a:srgbClr val="000000"/>
                        </a:solidFill>
                        <a:ln w="9525" cmpd="sng" cap="flat">
                          <a:noFill/>
                          <a:prstDash val="solid"/>
                          <a:miter/>
                        </a:ln>
                      </wps:spPr>
                      <wps:bodyPr vert="horz" wrap="square" lIns="91440" tIns="45720" rIns="91440" bIns="45720" anchor="ctr" anchorCtr="0" upright="1">
                        <a:noAutofit/>
                      </wps:bodyPr>
                    </wps:wsp>
                    <wps:wsp>
                      <wps:cNvPr id="196" name=" 196"/>
                      <wps:cNvSpPr/>
                      <wps:spPr>
                        <a:xfrm rot="0">
                          <a:off x="6087110" y="0"/>
                          <a:ext cx="1489074" cy="454134"/>
                        </a:xfrm>
                        <a:custGeom>
                          <a:gdLst>
                            <a:gd name="T1" fmla="*/ 0 w 21600"/>
                            <a:gd name="T2" fmla="*/ 0 h 21600"/>
                            <a:gd name="T3" fmla="*/ 21600 w 21600"/>
                            <a:gd name="T4" fmla="*/ 21600 h 21600"/>
                          </a:gdLst>
                          <a:rect l="T1" t="T2" r="T3" b="T4"/>
                          <a:pathLst>
                            <a:path w="21600" h="21600">
                              <a:moveTo>
                                <a:pt x="5508" y="0"/>
                              </a:moveTo>
                              <a:lnTo>
                                <a:pt x="21600" y="172"/>
                              </a:lnTo>
                              <a:lnTo>
                                <a:pt x="21600" y="21600"/>
                              </a:lnTo>
                              <a:lnTo>
                                <a:pt x="0" y="21600"/>
                              </a:lnTo>
                              <a:lnTo>
                                <a:pt x="5508" y="0"/>
                              </a:lnTo>
                              <a:close/>
                            </a:path>
                          </a:pathLst>
                        </a:custGeom>
                        <a:solidFill>
                          <a:srgbClr val="FFD966"/>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197" o:spid="_x0000_s197" coordorigin="0,0" coordsize="11931,761" style="position:absolute;margin-left:0.0pt;margin-top:0.0pt;width:596.55pt;height:38.050003pt;z-index:123;mso-position-horizontal:absolute;mso-position-horizontal-relative:page;mso-position-vertical:absolute;mso-position-vertical-relative:page;mso-wrap-distance-left:8.999863pt;mso-wrap-distance-right:8.999863pt;">
              <v:rect type="#_x0000_t1" id="_s198" o:spid="_x0000_s198" style="position:absolute;left:0;top:666;width:11925;height:94;" fillcolor="#FFD966" stroked="f">
                <v:stroke color="#000000"/>
              </v:rect>
              <v:shape type="#_x0000_t100" id="_s199" o:spid="_x0000_s199" style="position:absolute;left:9295;top:116;width:2619;height:556;" fillcolor="#000000" stroked="f">
                <v:stroke color="#000000"/>
              </v:shape>
              <v:shape type="#_x0000_t100" id="_s200" o:spid="_x0000_s200" style="position:absolute;left:9586;top:0;width:2344;height:715;" fillcolor="#FFD966" stroked="f">
                <v:stroke color="#000000"/>
              </v:shape>
            </v:group>
          </w:pict>
        </mc:Fallback>
      </mc:AlternateContent>
    </w:r>
    <w:r>
      <w:rPr>
        <w:sz w:val="18"/>
      </w:rPr>
      <mc:AlternateContent>
        <mc:Choice Requires="wps">
          <w:drawing>
            <wp:anchor distT="0" distB="0" distL="114298" distR="114298" simplePos="0" relativeHeight="125" behindDoc="0" locked="0" layoutInCell="1" hidden="0" allowOverlap="1">
              <wp:simplePos x="0" y="0"/>
              <wp:positionH relativeFrom="page">
                <wp:align>left</wp:align>
              </wp:positionH>
              <wp:positionV relativeFrom="page">
                <wp:posOffset>377825</wp:posOffset>
              </wp:positionV>
              <wp:extent cx="3230000" cy="407035"/>
              <wp:effectExtent l="0" t="0" r="0" b="0"/>
              <wp:wrapNone/>
              <wp:docPr id="201" name="组合"/>
              <wp:cNvGraphicFramePr>
                <a:graphicFrameLocks noChangeAspect="0"/>
              </wp:cNvGraphicFramePr>
              <a:graphic>
                <a:graphicData uri="http://schemas.microsoft.com/office/word/2010/wordprocessingGroup">
                  <wpg:wgp>
                    <wpg:cNvPr id="202" name="组合 202"/>
                    <wpg:cNvGrpSpPr/>
                    <wpg:grpSpPr>
                      <a:xfrm rot="0">
                        <a:off x="0" y="0"/>
                        <a:ext cx="3230000" cy="407035"/>
                        <a:chOff x="0" y="0"/>
                        <a:chExt cx="3230000" cy="407035"/>
                      </a:xfrm>
                      <a:prstGeom prst="rect"/>
                      <a:solidFill>
                        <a:srgbClr val="FFFFFF"/>
                      </a:solidFill>
                      <a:ln w="9525" cmpd="sng" cap="flat">
                        <a:solidFill>
                          <a:srgbClr val="000000"/>
                        </a:solidFill>
                        <a:prstDash val="solid"/>
                        <a:miter/>
                      </a:ln>
                    </wpg:grpSpPr>
                    <wps:wsp>
                      <wps:cNvPr id="203" name="文本框 203"/>
                      <wps:cNvSpPr/>
                      <wps:spPr>
                        <a:xfrm rot="0">
                          <a:off x="65604" y="0"/>
                          <a:ext cx="3164395" cy="407035"/>
                        </a:xfrm>
                        <a:prstGeom prst="rect"/>
                        <a:noFill/>
                        <a:ln w="9525" cmpd="sng" cap="flat">
                          <a:noFill/>
                          <a:prstDash val="solid"/>
                          <a:miter/>
                        </a:ln>
                      </wps:spPr>
                      <wps:txbx id="204">
                        <w:txbxContent>
                          <w:p>
                            <w:pPr>
                              <w:rPr>
                                <w:rFonts w:ascii="微软雅黑" w:eastAsia="微软雅黑" w:cs="微软雅黑"/>
                                <w:b/>
                                <w:bCs/>
                                <w:sz w:val="28"/>
                                <w:szCs w:val="36"/>
                                <w:lang w:val="en-US" w:eastAsia="zh-CN"/>
                              </w:rPr>
                            </w:pPr>
                            <w:r>
                              <w:rPr>
                                <w:rFonts w:ascii="微软雅黑" w:eastAsia="微软雅黑" w:cs="微软雅黑" w:hint="eastAsia"/>
                                <w:b/>
                                <w:bCs/>
                                <w:sz w:val="28"/>
                                <w:szCs w:val="36"/>
                                <w:lang w:val="en-US" w:eastAsia="zh-CN"/>
                              </w:rPr>
                              <w:t>第四部分  2019年度部门决算报表</w:t>
                            </w:r>
                          </w:p>
                        </w:txbxContent>
                      </wps:txbx>
                      <wps:bodyPr vert="horz" wrap="square" lIns="91440" tIns="45720" rIns="91440" bIns="45720" anchor="t" anchorCtr="0" upright="0">
                        <a:noAutofit/>
                      </wps:bodyPr>
                    </wps:wsp>
                    <wps:wsp>
                      <wps:cNvPr id="205" name="矩形 205"/>
                      <wps:cNvSpPr/>
                      <wps:spPr>
                        <a:xfrm rot="0">
                          <a:off x="0" y="104139"/>
                          <a:ext cx="121983" cy="209550"/>
                        </a:xfrm>
                        <a:prstGeom prst="rect"/>
                        <a:solidFill>
                          <a:srgbClr val="000000"/>
                        </a:solidFill>
                        <a:ln w="9525" cmpd="sng" cap="flat">
                          <a:noFill/>
                          <a:prstDash val="solid"/>
                          <a:miter/>
                        </a:ln>
                      </wps:spPr>
                      <wps:bodyPr vert="horz" wrap="square" lIns="91440" tIns="45720" rIns="91440" bIns="45720" anchor="ctr" anchorCtr="0" upright="1">
                        <a:noAutofit/>
                      </wps:bodyPr>
                    </wps:wsp>
                    <wps:bodyPr vert="horz" wrap="square" lIns="91440" tIns="45720" rIns="91440" bIns="45720" anchor="t" anchorCtr="0" upright="1">
                      <a:noAutofit/>
                    </wps:bodyPr>
                  </wpg:wgp>
                </a:graphicData>
              </a:graphic>
            </wp:anchor>
          </w:drawing>
        </mc:Choice>
        <mc:Fallback>
          <w:pict>
            <v:group type="#_x0000_t1" id="组合 206" o:spid="_x0000_s206" coordorigin="0,595" coordsize="5086,641" style="position:absolute;margin-left:0.0pt;margin-top:29.75pt;width:254.33072pt;height:32.050003pt;z-index:125;mso-position-horizontal:left;mso-position-horizontal-relative:page;mso-position-vertical:absolute;mso-position-vertical-relative:page;mso-wrap-distance-left:8.999863pt;mso-wrap-distance-right:8.999863pt;">
              <v:shape type="#_x0000_t202" id="_s207" o:spid="_x0000_s207" style="position:absolute;left:103;top:595;width:4983;height:641;mso-wrap-style:square;" filled="f" stroked="f">
                <v:textbox id="869" inset="2.54mm,1.27mm,2.54mm,1.27mm" o:insetmode="custom" style="layout-flow:horizontal;v-text-anchor:top;">
                  <w:txbxContent>
                    <w:p>
                      <w:pPr>
                        <w:rPr>
                          <w:rFonts w:ascii="微软雅黑" w:eastAsia="微软雅黑" w:cs="微软雅黑"/>
                          <w:b/>
                          <w:bCs/>
                          <w:sz w:val="28"/>
                          <w:szCs w:val="36"/>
                          <w:lang w:val="en-US" w:eastAsia="zh-CN"/>
                        </w:rPr>
                      </w:pPr>
                      <w:r>
                        <w:rPr>
                          <w:rFonts w:ascii="微软雅黑" w:eastAsia="微软雅黑" w:cs="微软雅黑" w:hint="eastAsia"/>
                          <w:b/>
                          <w:bCs/>
                          <w:sz w:val="28"/>
                          <w:szCs w:val="36"/>
                          <w:lang w:val="en-US" w:eastAsia="zh-CN"/>
                        </w:rPr>
                        <w:t>第四部分  2019年度部门决算报表</w:t>
                      </w:r>
                    </w:p>
                  </w:txbxContent>
                </v:textbox>
                <v:stroke color="#000000"/>
              </v:shape>
              <v:rect type="#_x0000_t1" id="_s208" o:spid="_x0000_s208" style="position:absolute;left:0;top:758;width:192;height:330;" fillcolor="#000000" stroked="f">
                <v:stroke color="#000000"/>
              </v:rect>
            </v:group>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61E5B8C7"/>
    <w:multiLevelType w:val="singleLevel"/>
    <w:tmpl w:val="61E5B8C7"/>
    <w:lvl w:ilvl="0">
      <w:start w:val="4"/>
      <w:numFmt w:val="chineseCounting"/>
      <w:lvlRestart w:val="0"/>
      <w:suff w:val="space"/>
      <w:lvlText w:val="第%1部分"/>
      <w:lvlJc w:val="left"/>
      <w:pPr>
        <w:tabs>
          <w:tab w:val="num" w:pos="0"/>
        </w:tabs>
        <w:ind w:left="0" w:hanging="0"/>
      </w:pPr>
      <w:rPr>
        <w:rFonts w:hint="eastAsia"/>
      </w:rPr>
    </w:lvl>
  </w:abstractNum>
  <w:abstractNum w:abstractNumId="1">
    <w:nsid w:val="440C3027"/>
    <w:multiLevelType w:val="multilevel"/>
    <w:tmpl w:val="440C3027"/>
    <w:lvl w:ilvl="0">
      <w:start w:val="1"/>
      <w:numFmt w:val="japaneseCounting"/>
      <w:lvlRestart w:val="0"/>
      <w:lvlText w:val="%1、"/>
      <w:lvlJc w:val="left"/>
      <w:pPr>
        <w:tabs>
          <w:tab w:val="num" w:pos="0"/>
        </w:tabs>
        <w:ind w:left="1940" w:hanging="660"/>
      </w:pPr>
      <w:rPr>
        <w:rFonts w:hint="default"/>
      </w:rPr>
    </w:lvl>
    <w:lvl w:ilvl="1">
      <w:start w:val="1"/>
      <w:numFmt w:val="lowerLetter"/>
      <w:lvlText w:val="%2)"/>
      <w:lvlJc w:val="left"/>
      <w:pPr>
        <w:tabs>
          <w:tab w:val="num" w:pos="0"/>
        </w:tabs>
        <w:ind w:left="2120" w:hanging="420"/>
      </w:pPr>
    </w:lvl>
    <w:lvl w:ilvl="2">
      <w:start w:val="1"/>
      <w:numFmt w:val="lowerRoman"/>
      <w:lvlText w:val="%3."/>
      <w:lvlJc w:val="right"/>
      <w:pPr>
        <w:tabs>
          <w:tab w:val="num" w:pos="0"/>
        </w:tabs>
        <w:ind w:left="2540" w:hanging="420"/>
      </w:pPr>
    </w:lvl>
    <w:lvl w:ilvl="3">
      <w:start w:val="1"/>
      <w:numFmt w:val="decimal"/>
      <w:lvlText w:val="%4."/>
      <w:lvlJc w:val="left"/>
      <w:pPr>
        <w:tabs>
          <w:tab w:val="num" w:pos="0"/>
        </w:tabs>
        <w:ind w:left="2960" w:hanging="420"/>
      </w:pPr>
    </w:lvl>
    <w:lvl w:ilvl="4">
      <w:start w:val="1"/>
      <w:numFmt w:val="lowerLetter"/>
      <w:lvlText w:val="%5)"/>
      <w:lvlJc w:val="left"/>
      <w:pPr>
        <w:tabs>
          <w:tab w:val="num" w:pos="0"/>
        </w:tabs>
        <w:ind w:left="3380" w:hanging="420"/>
      </w:pPr>
    </w:lvl>
    <w:lvl w:ilvl="5">
      <w:start w:val="1"/>
      <w:numFmt w:val="lowerRoman"/>
      <w:lvlText w:val="%6."/>
      <w:lvlJc w:val="right"/>
      <w:pPr>
        <w:tabs>
          <w:tab w:val="num" w:pos="0"/>
        </w:tabs>
        <w:ind w:left="3800" w:hanging="420"/>
      </w:pPr>
    </w:lvl>
    <w:lvl w:ilvl="6">
      <w:start w:val="1"/>
      <w:numFmt w:val="decimal"/>
      <w:lvlText w:val="%7."/>
      <w:lvlJc w:val="left"/>
      <w:pPr>
        <w:tabs>
          <w:tab w:val="num" w:pos="0"/>
        </w:tabs>
        <w:ind w:left="4220" w:hanging="420"/>
      </w:pPr>
    </w:lvl>
    <w:lvl w:ilvl="7">
      <w:start w:val="1"/>
      <w:numFmt w:val="lowerLetter"/>
      <w:lvlText w:val="%8)"/>
      <w:lvlJc w:val="left"/>
      <w:pPr>
        <w:tabs>
          <w:tab w:val="num" w:pos="0"/>
        </w:tabs>
        <w:ind w:left="4640" w:hanging="420"/>
      </w:pPr>
    </w:lvl>
    <w:lvl w:ilvl="8">
      <w:start w:val="1"/>
      <w:numFmt w:val="lowerRoman"/>
      <w:lvlText w:val="%9."/>
      <w:lvlJc w:val="right"/>
      <w:pPr>
        <w:tabs>
          <w:tab w:val="num" w:pos="0"/>
        </w:tabs>
        <w:ind w:left="5060" w:hanging="420"/>
      </w:pPr>
    </w:lvl>
  </w:abstractNum>
  <w:abstractNum w:abstractNumId="2">
    <w:nsid w:val="45DB9A87"/>
    <w:multiLevelType w:val="singleLevel"/>
    <w:tmpl w:val="45DB9A87"/>
    <w:lvl w:ilvl="0">
      <w:start w:val="3"/>
      <w:numFmt w:val="chineseCounting"/>
      <w:lvlRestart w:val="0"/>
      <w:suff w:val="nothing"/>
      <w:lvlText w:val="（%1）"/>
      <w:lvlJc w:val="left"/>
      <w:pPr>
        <w:tabs>
          <w:tab w:val="num" w:pos="0"/>
        </w:tabs>
        <w:ind w:left="0" w:hanging="0"/>
      </w:pPr>
      <w:rPr>
        <w:rFonts w:hint="eastAsia"/>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doNotExpandShiftReturn/>
    <w:adjustLineHeightInTable/>
    <w:doNotUseIndentAsNumberingTabStop/>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等线" w:eastAsia="等线" w:cs="Arial"/>
      <w:kern w:val="2"/>
      <w:sz w:val="21"/>
      <w:szCs w:val="22"/>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Arial" w:eastAsia="黑体" w:hAnsi="Arial"/>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Body Text"/>
    <w:basedOn w:val="0"/>
    <w:rPr>
      <w:rFonts w:ascii="仿宋_GB2312" w:eastAsia="仿宋_GB2312" w:cs="仿宋_GB2312"/>
      <w:sz w:val="32"/>
      <w:szCs w:val="32"/>
      <w:lang w:val="zh-CN" w:eastAsia="zh-CN" w:bidi="zh-CN"/>
    </w:rPr>
  </w:style>
  <w:style w:type="paragraph" w:styleId="16">
    <w:name w:val="footer"/>
    <w:basedOn w:val="0"/>
    <w:pPr>
      <w:tabs>
        <w:tab w:val="center" w:pos="4153"/>
        <w:tab w:val="right" w:pos="8306"/>
      </w:tabs>
      <w:snapToGrid w:val="0"/>
      <w:jc w:val="left"/>
    </w:pPr>
    <w:rPr>
      <w:sz w:val="18"/>
      <w:szCs w:val="18"/>
    </w:rPr>
  </w:style>
  <w:style w:type="paragraph" w:styleId="17">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jc w:val="center"/>
    </w:pPr>
    <w:rPr>
      <w:rFonts w:ascii="等线" w:eastAsia="等线"/>
      <w:sz w:val="18"/>
      <w:szCs w:val="18"/>
    </w:rPr>
  </w:style>
  <w:style w:type="paragraph" w:customStyle="1" w:styleId="18">
    <w:name w:val="List Paragraph"/>
    <w:basedOn w:val="0"/>
    <w:pPr>
      <w:spacing w:before="2"/>
      <w:ind w:left="119" w:right="434" w:firstLine="643"/>
      <w:jc w:val="both"/>
    </w:pPr>
    <w:rPr>
      <w:rFonts w:ascii="仿宋_GB2312" w:eastAsia="仿宋_GB2312" w:cs="仿宋_GB2312"/>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header" Target="header4.xml"/><Relationship Id="rId7" Type="http://schemas.openxmlformats.org/officeDocument/2006/relationships/header" Target="header5.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8.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image" Target="media/72.gif"/><Relationship Id="rId18" Type="http://schemas.openxmlformats.org/officeDocument/2006/relationships/header" Target="header9.xml"/><Relationship Id="rId19" Type="http://schemas.openxmlformats.org/officeDocument/2006/relationships/image" Target="media/96.gif"/><Relationship Id="rId20" Type="http://schemas.openxmlformats.org/officeDocument/2006/relationships/chart" Target="charts/chart1.xml"/><Relationship Id="rId21" Type="http://schemas.openxmlformats.org/officeDocument/2006/relationships/chart" Target="charts/chart2.xml"/><Relationship Id="rId22" Type="http://schemas.openxmlformats.org/officeDocument/2006/relationships/chart" Target="charts/chart3.xml"/><Relationship Id="rId23" Type="http://schemas.openxmlformats.org/officeDocument/2006/relationships/chart" Target="charts/chart4.xml"/><Relationship Id="rId24" Type="http://schemas.openxmlformats.org/officeDocument/2006/relationships/chart" Target="charts/chart5.xml"/><Relationship Id="rId25" Type="http://schemas.openxmlformats.org/officeDocument/2006/relationships/header" Target="header10.xml"/><Relationship Id="rId26" Type="http://schemas.openxmlformats.org/officeDocument/2006/relationships/header" Target="header11.xml"/><Relationship Id="rId27" Type="http://schemas.openxmlformats.org/officeDocument/2006/relationships/footer" Target="footer8.xml"/><Relationship Id="rId28" Type="http://schemas.openxmlformats.org/officeDocument/2006/relationships/footer" Target="footer9.xml"/><Relationship Id="rId29" Type="http://schemas.openxmlformats.org/officeDocument/2006/relationships/header" Target="header12.xml"/><Relationship Id="rId30" Type="http://schemas.openxmlformats.org/officeDocument/2006/relationships/image" Target="media/170.gif"/><Relationship Id="rId31" Type="http://schemas.openxmlformats.org/officeDocument/2006/relationships/header" Target="header13.xml"/><Relationship Id="rId32" Type="http://schemas.openxmlformats.org/officeDocument/2006/relationships/image" Target="media/174.gif"/><Relationship Id="rId33" Type="http://schemas.openxmlformats.org/officeDocument/2006/relationships/header" Target="header14.xml"/><Relationship Id="rId34" Type="http://schemas.openxmlformats.org/officeDocument/2006/relationships/header" Target="header15.xml"/><Relationship Id="rId35" Type="http://schemas.openxmlformats.org/officeDocument/2006/relationships/footer" Target="footer10.xml"/><Relationship Id="rId36" Type="http://schemas.openxmlformats.org/officeDocument/2006/relationships/styles" Target="styles.xml"/><Relationship Id="rId37" Type="http://schemas.openxmlformats.org/officeDocument/2006/relationships/numbering" Target="numbering.xml"/><Relationship Id="rId38"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char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char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527777"/>
          <c:y val="0.20277777"/>
          <c:w val="0.4186111"/>
          <c:h val="0.6976852"/>
        </c:manualLayout>
      </c:layout>
      <c:pieChart>
        <c:varyColors val="1"/>
        <c:ser>
          <c:idx val="0"/>
          <c:order val="0"/>
          <c:spPr>
            <a:ln>
              <a:noFill/>
            </a:ln>
          </c:spPr>
          <c:dPt>
            <c:idx val="0"/>
            <c:bubble3D val="0"/>
            <c:spPr>
              <a:solidFill>
                <a:srgbClr val="5B9BD5"/>
              </a:solidFill>
              <a:ln w="19050">
                <a:solidFill>
                  <a:srgbClr val="FFFFFF"/>
                </a:solidFill>
                <a:prstDash val="solid"/>
              </a:ln>
            </c:spPr>
          </c:dPt>
          <c:dPt>
            <c:idx val="1"/>
            <c:bubble3D val="0"/>
            <c:spPr>
              <a:solidFill>
                <a:srgbClr val="FFC000"/>
              </a:solidFill>
              <a:ln w="19050">
                <a:solidFill>
                  <a:srgbClr val="FFFFFF"/>
                </a:solidFill>
                <a:prstDash val="solid"/>
              </a:ln>
            </c:spPr>
          </c:dPt>
          <c:dLbls>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numFmt formatCode="0.00%" sourceLinked="0"/>
            <c:dLbl>
              <c:idx val="0"/>
              <c:layout>
                <c:manualLayout>
                  <c:x val="0.15561594"/>
                  <c:y val="-0.20928389"/>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dLbl>
              <c:idx val="1"/>
              <c:layout>
                <c:manualLayout>
                  <c:x val="-0.13206123"/>
                  <c:y val="0.10183773"/>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showLegendKey val="0"/>
            <c:showVal val="0"/>
            <c:showCatName val="1"/>
            <c:showSerName val="0"/>
            <c:showPercent val="1"/>
            <c:showBubbleSize val="0"/>
            <c:separator> </c:separator>
            <c:showLeaderLines val="1"/>
          </c:dLbls>
          <c:cat>
            <c:strLit>
              <c:ptCount val="2"/>
              <c:pt idx="0">
                <c:v>财政拨款收入</c:v>
              </c:pt>
              <c:pt idx="1">
                <c:v>其他收入</c:v>
              </c:pt>
            </c:strLit>
          </c:cat>
          <c:val>
            <c:numRef>
              <c:f/>
              <c:numCache>
                <c:formatCode>General</c:formatCode>
                <c:ptCount val="2"/>
                <c:pt idx="0">
                  <c:v>0.9949</c:v>
                </c:pt>
                <c:pt idx="1">
                  <c:v>0.0051</c:v>
                </c:pt>
              </c:numCache>
            </c:numRef>
          </c:val>
        </c:ser>
        <c:firstSliceAng val="44"/>
      </c:pieChart>
      <c:spPr>
        <a:noFill/>
        <a:ln>
          <a:noFill/>
        </a:ln>
      </c:spPr>
    </c:plotArea>
    <c:plotVisOnly val="1"/>
    <c:dispBlanksAs val="gap"/>
    <c:showDLblsOverMax val="0"/>
  </c:chart>
  <c:spPr>
    <a:noFill/>
    <a:ln w="6350">
      <a:solidFill>
        <a:srgbClr val="D9D9D9"/>
      </a:solidFill>
      <a:prstDash val="solid"/>
    </a:ln>
    <a:effectLst>
      <a:outerShdw blurRad="50800" dist="38100" dir="2700000" algn="tl" rotWithShape="0">
        <a:prstClr val="black">
          <a:alpha val="40000"/>
        </a:prstClr>
      </a:outerShdw>
    </a:effectLst>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527777"/>
          <c:y val="0.20277777"/>
          <c:w val="0.4186111"/>
          <c:h val="0.6976852"/>
        </c:manualLayout>
      </c:layout>
      <c:pieChart>
        <c:varyColors val="1"/>
        <c:ser>
          <c:idx val="0"/>
          <c:order val="0"/>
          <c:spPr>
            <a:ln>
              <a:noFill/>
            </a:ln>
          </c:spPr>
          <c:dPt>
            <c:idx val="0"/>
            <c:bubble3D val="0"/>
            <c:spPr>
              <a:solidFill>
                <a:srgbClr val="5B9BD5"/>
              </a:solidFill>
              <a:ln w="19050">
                <a:solidFill>
                  <a:srgbClr val="FFFFFF"/>
                </a:solidFill>
                <a:prstDash val="solid"/>
              </a:ln>
            </c:spPr>
          </c:dPt>
          <c:dPt>
            <c:idx val="1"/>
            <c:bubble3D val="0"/>
            <c:spPr>
              <a:solidFill>
                <a:srgbClr val="FFC000"/>
              </a:solidFill>
              <a:ln w="19050">
                <a:solidFill>
                  <a:srgbClr val="FFFFFF"/>
                </a:solidFill>
                <a:prstDash val="solid"/>
              </a:ln>
            </c:spPr>
          </c:dPt>
          <c:dLbls>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numFmt formatCode="0.00%" sourceLinked="0"/>
            <c:dLbl>
              <c:idx val="0"/>
              <c:layout>
                <c:manualLayout>
                  <c:x val="0.15561594"/>
                  <c:y val="-0.20928389"/>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dLbl>
              <c:idx val="1"/>
              <c:layout>
                <c:manualLayout>
                  <c:x val="-0.13206123"/>
                  <c:y val="0.10183773"/>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showLegendKey val="0"/>
            <c:showVal val="0"/>
            <c:showCatName val="1"/>
            <c:showSerName val="0"/>
            <c:showPercent val="1"/>
            <c:showBubbleSize val="0"/>
            <c:separator> </c:separator>
            <c:showLeaderLines val="1"/>
          </c:dLbls>
          <c:cat>
            <c:strLit>
              <c:ptCount val="2"/>
              <c:pt idx="0">
                <c:v>基本支出</c:v>
              </c:pt>
              <c:pt idx="1">
                <c:v>项目支出</c:v>
              </c:pt>
            </c:strLit>
          </c:cat>
          <c:val>
            <c:numRef>
              <c:f/>
              <c:numCache>
                <c:formatCode>General</c:formatCode>
                <c:ptCount val="2"/>
                <c:pt idx="0">
                  <c:v>0.8873</c:v>
                </c:pt>
                <c:pt idx="1">
                  <c:v>0.1127</c:v>
                </c:pt>
              </c:numCache>
            </c:numRef>
          </c:val>
        </c:ser>
        <c:firstSliceAng val="44"/>
      </c:pieChart>
      <c:spPr>
        <a:noFill/>
        <a:ln>
          <a:noFill/>
        </a:ln>
      </c:spPr>
    </c:plotArea>
    <c:plotVisOnly val="1"/>
    <c:dispBlanksAs val="gap"/>
    <c:showDLblsOverMax val="0"/>
  </c:chart>
  <c:spPr>
    <a:noFill/>
    <a:ln w="6350">
      <a:solidFill>
        <a:srgbClr val="D9D9D9"/>
      </a:solidFill>
      <a:prstDash val="solid"/>
    </a:ln>
    <a:effectLst>
      <a:outerShdw blurRad="50800" dist="38100" dir="2700000" algn="tl" rotWithShape="0">
        <a:prstClr val="black">
          <a:alpha val="40000"/>
        </a:prstClr>
      </a:outerShdw>
    </a:effectLst>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7480556"/>
          <c:y val="0.05385701"/>
          <c:w val="0.8946389"/>
          <c:h val="0.8345249"/>
        </c:manualLayout>
      </c:layout>
      <c:barChart>
        <c:barDir val="col"/>
        <c:grouping val="clustered"/>
        <c:varyColors val="0"/>
        <c:ser>
          <c:idx val="0"/>
          <c:order val="0"/>
          <c:spPr>
            <a:solidFill>
              <a:srgbClr val="4472C4"/>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4"/>
              <c:pt idx="0">
                <c:v>2018年收入</c:v>
              </c:pt>
              <c:pt idx="1">
                <c:v>2019年收入</c:v>
              </c:pt>
              <c:pt idx="2">
                <c:v>2018年支出</c:v>
              </c:pt>
              <c:pt idx="3">
                <c:v>2019年支出</c:v>
              </c:pt>
            </c:strLit>
          </c:cat>
          <c:val>
            <c:numRef>
              <c:f/>
              <c:numCache>
                <c:formatCode>General</c:formatCode>
                <c:ptCount val="4"/>
                <c:pt idx="0">
                  <c:v>433.82</c:v>
                </c:pt>
                <c:pt idx="1">
                  <c:v>485.96</c:v>
                </c:pt>
                <c:pt idx="2">
                  <c:v>433.84</c:v>
                </c:pt>
                <c:pt idx="3">
                  <c:v>485.96</c:v>
                </c:pt>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min val="300.0"/>
        </c:scaling>
        <c:delete val="0"/>
        <c:axPos val="l"/>
        <c:majorGridlines>
          <c:spPr>
            <a:ln w="6350">
              <a:solidFill>
                <a:srgbClr val="D9D9D9"/>
              </a:solidFill>
              <a:prstDash val="solid"/>
            </a:ln>
          </c:spPr>
        </c:majorGridlines>
        <c:numFmt formatCode="General" sourceLinked="0"/>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4472C4"/>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4"/>
              <c:pt idx="0">
                <c:v>收入预算数</c:v>
              </c:pt>
              <c:pt idx="1">
                <c:v>收入决算数</c:v>
              </c:pt>
              <c:pt idx="2">
                <c:v>支出预算数</c:v>
              </c:pt>
              <c:pt idx="3">
                <c:v>支出决算数</c:v>
              </c:pt>
            </c:strLit>
          </c:cat>
          <c:val>
            <c:numRef>
              <c:f/>
              <c:numCache>
                <c:formatCode>General</c:formatCode>
                <c:ptCount val="4"/>
                <c:pt idx="0">
                  <c:v>406.86</c:v>
                </c:pt>
                <c:pt idx="1">
                  <c:v>485.96</c:v>
                </c:pt>
                <c:pt idx="2">
                  <c:v>406.86</c:v>
                </c:pt>
                <c:pt idx="3">
                  <c:v>485.96</c:v>
                </c:pt>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min val="200.0"/>
        </c:scaling>
        <c:delete val="0"/>
        <c:axPos val="l"/>
        <c:majorGridlines>
          <c:spPr>
            <a:ln w="635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majorUnit val="20.0"/>
        <c:crossAx val="0"/>
      </c:valAx>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527777"/>
          <c:y val="0.20277777"/>
          <c:w val="0.4186111"/>
          <c:h val="0.6976852"/>
        </c:manualLayout>
      </c:layout>
      <c:pieChart>
        <c:varyColors val="1"/>
        <c:ser>
          <c:idx val="0"/>
          <c:order val="0"/>
          <c:spPr>
            <a:ln>
              <a:noFill/>
            </a:ln>
          </c:spPr>
          <c:dPt>
            <c:idx val="0"/>
            <c:bubble3D val="0"/>
            <c:spPr>
              <a:solidFill>
                <a:srgbClr val="5B9BD5"/>
              </a:solidFill>
              <a:ln w="19050">
                <a:solidFill>
                  <a:srgbClr val="FFFFFF"/>
                </a:solidFill>
                <a:prstDash val="solid"/>
              </a:ln>
            </c:spPr>
          </c:dPt>
          <c:dPt>
            <c:idx val="1"/>
            <c:bubble3D val="0"/>
            <c:spPr>
              <a:solidFill>
                <a:srgbClr val="FFC000"/>
              </a:solidFill>
              <a:ln w="19050">
                <a:solidFill>
                  <a:srgbClr val="FFFFFF"/>
                </a:solidFill>
                <a:prstDash val="solid"/>
              </a:ln>
            </c:spPr>
          </c:dPt>
          <c:dLbls>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numFmt formatCode="0.00%" sourceLinked="0"/>
            <c:dLbl>
              <c:idx val="0"/>
              <c:layout>
                <c:manualLayout>
                  <c:x val="0.27221674"/>
                  <c:y val="-0.13008952"/>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dLbl>
              <c:idx val="1"/>
              <c:layout>
                <c:manualLayout>
                  <c:x val="-0.22297032"/>
                  <c:y val="0.12530273"/>
                </c:manualLayout>
              </c:layout>
              <c:numFmt formatCode="0.00%" sourceLinked="0"/>
              <c:spPr>
                <a:noFill/>
                <a:ln>
                  <a:noFill/>
                </a:ln>
              </c:spPr>
              <c:txPr>
                <a:bodyPr rot="60000" vert="horz"/>
                <a:lstStyle/>
                <a:p>
                  <a:pPr>
                    <a:defRPr sz="900" b="1" i="0" u="none" strike="noStrike" baseline="0">
                      <a:solidFill>
                        <a:srgbClr val="FFFFFF"/>
                      </a:solidFill>
                      <a:latin typeface="微软雅黑"/>
                      <a:ea typeface="微软雅黑"/>
                      <a:cs typeface="Arial"/>
                    </a:defRPr>
                  </a:pPr>
                  <a:endParaRPr lang="zh-CN"/>
                </a:p>
              </c:txPr>
              <c:showLegendKey val="0"/>
              <c:showVal val="0"/>
              <c:showCatName val="1"/>
              <c:showSerName val="0"/>
              <c:showPercent val="1"/>
              <c:showBubbleSize val="0"/>
              <c:separator> </c:separator>
            </c:dLbl>
            <c:showLegendKey val="0"/>
            <c:showVal val="0"/>
            <c:showCatName val="1"/>
            <c:showSerName val="0"/>
            <c:showPercent val="1"/>
            <c:showBubbleSize val="0"/>
            <c:separator> </c:separator>
            <c:showLeaderLines val="1"/>
          </c:dLbls>
          <c:cat>
            <c:strLit>
              <c:ptCount val="2"/>
              <c:pt idx="0">
                <c:v>文化旅游体育与传媒</c:v>
              </c:pt>
              <c:pt idx="1">
                <c:v>社会保障和就业支出</c:v>
              </c:pt>
            </c:strLit>
          </c:cat>
          <c:val>
            <c:numRef>
              <c:f/>
              <c:numCache>
                <c:formatCode>General</c:formatCode>
                <c:ptCount val="2"/>
                <c:pt idx="0">
                  <c:v>0.9919</c:v>
                </c:pt>
                <c:pt idx="1">
                  <c:v>0.0081</c:v>
                </c:pt>
              </c:numCache>
            </c:numRef>
          </c:val>
        </c:ser>
        <c:firstSliceAng val="44"/>
      </c:pieChart>
      <c:spPr>
        <a:noFill/>
        <a:ln>
          <a:noFill/>
        </a:ln>
      </c:spPr>
    </c:plotArea>
    <c:plotVisOnly val="1"/>
    <c:dispBlanksAs val="gap"/>
    <c:showDLblsOverMax val="0"/>
  </c:chart>
  <c:spPr>
    <a:noFill/>
    <a:ln w="6350">
      <a:solidFill>
        <a:srgbClr val="D9D9D9"/>
      </a:solidFill>
      <a:prstDash val="solid"/>
    </a:ln>
    <a:effectLst>
      <a:outerShdw blurRad="50800" dist="38100" dir="2700000" algn="tl" rotWithShape="0">
        <a:prstClr val="black">
          <a:alpha val="40000"/>
        </a:prstClr>
      </a:outerShdw>
    </a:effectLst>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7</TotalTime>
  <Application>Yozo_Office27021597764231179</Application>
  <Pages>33</Pages>
  <Words>7839</Words>
  <Characters>9981</Characters>
  <Lines>1682</Lines>
  <Paragraphs>1091</Paragraphs>
  <CharactersWithSpaces>10031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王明新TIAD</dc:creator>
  <cp:lastModifiedBy>fnysk</cp:lastModifiedBy>
  <cp:revision>2</cp:revision>
  <cp:lastPrinted>2020-07-30T02:37:00Z</cp:lastPrinted>
  <dcterms:created xsi:type="dcterms:W3CDTF">2020-07-29T09:42:00Z</dcterms:created>
  <dcterms:modified xsi:type="dcterms:W3CDTF">2021-05-16T12:36:33Z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2052-11.1.0.10495</vt:lpwstr>
  </property>
  <property fmtid="{D5CDD505-2E9C-101B-9397-08002B2CF9AE}" pid="3" name="ICV">
    <vt:lpwstr>8AAB2737E93D4CFBA7FC530C5D6015DC</vt:lpwstr>
  </property>
</Properties>
</file>